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4B66D1" w:rsidRDefault="00BF45A8" w:rsidP="00AE3757">
      <w:pPr>
        <w:pStyle w:val="Default"/>
        <w:rPr>
          <w:rFonts w:asciiTheme="minorHAnsi" w:hAnsiTheme="minorHAnsi" w:cstheme="minorHAnsi"/>
          <w:sz w:val="36"/>
          <w:szCs w:val="18"/>
        </w:rPr>
      </w:pPr>
    </w:p>
    <w:p w14:paraId="05BF2493" w14:textId="647E93F3" w:rsidR="0004187E" w:rsidRPr="00797E9A" w:rsidRDefault="00797E9A" w:rsidP="00AE375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944DDC">
        <w:rPr>
          <w:rFonts w:asciiTheme="minorHAnsi" w:hAnsiTheme="minorHAnsi" w:cstheme="minorHAnsi"/>
          <w:b/>
          <w:color w:val="116DB6"/>
          <w:sz w:val="48"/>
        </w:rPr>
        <w:t>Retention of Recor</w:t>
      </w:r>
      <w:r w:rsidR="003B3E30">
        <w:rPr>
          <w:rFonts w:asciiTheme="minorHAnsi" w:hAnsiTheme="minorHAnsi" w:cstheme="minorHAnsi"/>
          <w:b/>
          <w:color w:val="116DB6"/>
          <w:sz w:val="48"/>
        </w:rPr>
        <w:t>d</w:t>
      </w:r>
      <w:r w:rsidR="00944DDC">
        <w:rPr>
          <w:rFonts w:asciiTheme="minorHAnsi" w:hAnsiTheme="minorHAnsi" w:cstheme="minorHAnsi"/>
          <w:b/>
          <w:color w:val="116DB6"/>
          <w:sz w:val="48"/>
        </w:rPr>
        <w:t>s</w:t>
      </w:r>
    </w:p>
    <w:p w14:paraId="7D3D64CE" w14:textId="77777777" w:rsidR="00944DDC" w:rsidRPr="001A189B" w:rsidRDefault="00944DDC" w:rsidP="00944DDC">
      <w:pPr>
        <w:pStyle w:val="Default"/>
        <w:rPr>
          <w:rFonts w:asciiTheme="minorHAnsi" w:hAnsiTheme="minorHAnsi" w:cstheme="minorHAnsi"/>
          <w:sz w:val="22"/>
        </w:rPr>
      </w:pPr>
    </w:p>
    <w:p w14:paraId="375128EC" w14:textId="77777777" w:rsidR="00944DDC" w:rsidRPr="001A189B" w:rsidRDefault="00944DDC" w:rsidP="00944DDC">
      <w:pPr>
        <w:pStyle w:val="Heading2"/>
        <w:rPr>
          <w:rFonts w:asciiTheme="minorHAnsi" w:hAnsiTheme="minorHAnsi" w:cstheme="minorHAnsi"/>
          <w:color w:val="116DB6"/>
          <w:sz w:val="28"/>
          <w:szCs w:val="28"/>
          <w:lang w:val="en-US"/>
        </w:rPr>
      </w:pPr>
      <w:r w:rsidRPr="001A189B">
        <w:rPr>
          <w:rFonts w:asciiTheme="minorHAnsi" w:hAnsiTheme="minorHAnsi" w:cstheme="minorHAnsi"/>
          <w:color w:val="116DB6"/>
          <w:sz w:val="28"/>
          <w:szCs w:val="28"/>
          <w:lang w:val="en-US"/>
        </w:rPr>
        <w:t>Introduction</w:t>
      </w:r>
    </w:p>
    <w:p w14:paraId="3F9BC9C4" w14:textId="77777777" w:rsidR="00944DDC" w:rsidRPr="001A189B" w:rsidRDefault="00944DDC" w:rsidP="00944DDC">
      <w:pPr>
        <w:pStyle w:val="Default"/>
        <w:rPr>
          <w:rFonts w:asciiTheme="minorHAnsi" w:hAnsiTheme="minorHAnsi" w:cstheme="minorHAnsi"/>
          <w:sz w:val="22"/>
        </w:rPr>
      </w:pPr>
    </w:p>
    <w:p w14:paraId="56982A7C" w14:textId="77777777" w:rsidR="00944DDC" w:rsidRPr="001A189B" w:rsidRDefault="00944DDC" w:rsidP="00944DDC">
      <w:pPr>
        <w:pStyle w:val="Default"/>
        <w:rPr>
          <w:rFonts w:asciiTheme="minorHAnsi" w:hAnsiTheme="minorHAnsi" w:cstheme="minorHAnsi"/>
          <w:sz w:val="22"/>
        </w:rPr>
      </w:pPr>
      <w:r w:rsidRPr="001A189B">
        <w:rPr>
          <w:rFonts w:asciiTheme="minorHAnsi" w:hAnsiTheme="minorHAnsi" w:cstheme="minorHAnsi"/>
          <w:sz w:val="22"/>
        </w:rPr>
        <w:t xml:space="preserve">The actual period for which records need to be kept will depend on a number of factors including: </w:t>
      </w:r>
    </w:p>
    <w:p w14:paraId="26A2BF6D" w14:textId="77777777" w:rsidR="00944DDC" w:rsidRPr="001A189B" w:rsidRDefault="00944DDC" w:rsidP="001A189B">
      <w:pPr>
        <w:pStyle w:val="Default"/>
        <w:numPr>
          <w:ilvl w:val="0"/>
          <w:numId w:val="4"/>
        </w:numPr>
        <w:rPr>
          <w:rFonts w:asciiTheme="minorHAnsi" w:hAnsiTheme="minorHAnsi" w:cstheme="minorHAnsi"/>
          <w:sz w:val="22"/>
        </w:rPr>
      </w:pPr>
      <w:r w:rsidRPr="001A189B">
        <w:rPr>
          <w:rFonts w:asciiTheme="minorHAnsi" w:hAnsiTheme="minorHAnsi" w:cstheme="minorHAnsi"/>
          <w:sz w:val="22"/>
        </w:rPr>
        <w:t>Legal and related requirements</w:t>
      </w:r>
    </w:p>
    <w:p w14:paraId="4C966D0C" w14:textId="77777777" w:rsidR="00944DDC" w:rsidRPr="001A189B" w:rsidRDefault="00944DDC" w:rsidP="001A189B">
      <w:pPr>
        <w:pStyle w:val="Default"/>
        <w:numPr>
          <w:ilvl w:val="0"/>
          <w:numId w:val="4"/>
        </w:numPr>
        <w:rPr>
          <w:rFonts w:asciiTheme="minorHAnsi" w:hAnsiTheme="minorHAnsi" w:cstheme="minorHAnsi"/>
          <w:sz w:val="22"/>
        </w:rPr>
      </w:pPr>
      <w:r w:rsidRPr="001A189B">
        <w:rPr>
          <w:rFonts w:asciiTheme="minorHAnsi" w:hAnsiTheme="minorHAnsi" w:cstheme="minorHAnsi"/>
          <w:sz w:val="22"/>
        </w:rPr>
        <w:t>Costs</w:t>
      </w:r>
    </w:p>
    <w:p w14:paraId="41E244E5" w14:textId="77777777" w:rsidR="00944DDC" w:rsidRPr="001A189B" w:rsidRDefault="00944DDC" w:rsidP="001A189B">
      <w:pPr>
        <w:pStyle w:val="Default"/>
        <w:numPr>
          <w:ilvl w:val="0"/>
          <w:numId w:val="4"/>
        </w:numPr>
        <w:rPr>
          <w:rFonts w:asciiTheme="minorHAnsi" w:hAnsiTheme="minorHAnsi" w:cstheme="minorHAnsi"/>
          <w:sz w:val="22"/>
        </w:rPr>
      </w:pPr>
      <w:r w:rsidRPr="001A189B">
        <w:rPr>
          <w:rFonts w:asciiTheme="minorHAnsi" w:hAnsiTheme="minorHAnsi" w:cstheme="minorHAnsi"/>
          <w:sz w:val="22"/>
        </w:rPr>
        <w:t>The organisation’s own need to access the document</w:t>
      </w:r>
    </w:p>
    <w:p w14:paraId="2079CF5F" w14:textId="77777777" w:rsidR="00944DDC" w:rsidRPr="001A189B" w:rsidRDefault="00944DDC" w:rsidP="001A189B">
      <w:pPr>
        <w:pStyle w:val="Default"/>
        <w:numPr>
          <w:ilvl w:val="0"/>
          <w:numId w:val="4"/>
        </w:numPr>
        <w:rPr>
          <w:rFonts w:asciiTheme="minorHAnsi" w:hAnsiTheme="minorHAnsi" w:cstheme="minorHAnsi"/>
          <w:sz w:val="22"/>
        </w:rPr>
      </w:pPr>
      <w:r w:rsidRPr="001A189B">
        <w:rPr>
          <w:rFonts w:asciiTheme="minorHAnsi" w:hAnsiTheme="minorHAnsi" w:cstheme="minorHAnsi"/>
          <w:sz w:val="22"/>
        </w:rPr>
        <w:t>Historical value.</w:t>
      </w:r>
    </w:p>
    <w:p w14:paraId="56A91F01" w14:textId="77777777" w:rsidR="00944DDC" w:rsidRPr="001A189B" w:rsidRDefault="00944DDC" w:rsidP="00944DDC">
      <w:pPr>
        <w:pStyle w:val="Default"/>
        <w:rPr>
          <w:rFonts w:asciiTheme="minorHAnsi" w:hAnsiTheme="minorHAnsi" w:cstheme="minorHAnsi"/>
          <w:sz w:val="22"/>
        </w:rPr>
      </w:pPr>
      <w:r w:rsidRPr="001A189B">
        <w:rPr>
          <w:rFonts w:asciiTheme="minorHAnsi" w:hAnsiTheme="minorHAnsi" w:cstheme="minorHAnsi"/>
          <w:sz w:val="22"/>
        </w:rPr>
        <w:t>Each type of document needs to be assessed separately. For many documents, it will be sufficient to keep them only for the period required by law. Others will be essential reference material in the future and the organisation might decide to keep them longer than the period required by law.</w:t>
      </w:r>
    </w:p>
    <w:p w14:paraId="31175C61" w14:textId="77777777" w:rsidR="00944DDC" w:rsidRPr="001A189B" w:rsidRDefault="00944DDC" w:rsidP="00944DDC">
      <w:pPr>
        <w:pStyle w:val="Default"/>
        <w:rPr>
          <w:rFonts w:asciiTheme="minorHAnsi" w:hAnsiTheme="minorHAnsi" w:cstheme="minorHAnsi"/>
          <w:sz w:val="22"/>
        </w:rPr>
      </w:pPr>
    </w:p>
    <w:p w14:paraId="683FC81B" w14:textId="77777777" w:rsidR="00944DDC" w:rsidRPr="001A189B" w:rsidRDefault="00944DDC" w:rsidP="00944DDC">
      <w:pPr>
        <w:pStyle w:val="Default"/>
        <w:rPr>
          <w:rFonts w:asciiTheme="minorHAnsi" w:hAnsiTheme="minorHAnsi" w:cstheme="minorHAnsi"/>
          <w:sz w:val="22"/>
        </w:rPr>
      </w:pPr>
      <w:r w:rsidRPr="001A189B">
        <w:rPr>
          <w:rFonts w:asciiTheme="minorHAnsi" w:hAnsiTheme="minorHAnsi" w:cstheme="minorHAnsi"/>
          <w:sz w:val="22"/>
        </w:rPr>
        <w:t>The table below sets out a suggested retention period for documents most commonly held by charities.</w:t>
      </w:r>
    </w:p>
    <w:p w14:paraId="71ECAFF6" w14:textId="77777777" w:rsidR="00944DDC" w:rsidRPr="001A189B" w:rsidRDefault="00944DDC" w:rsidP="00944DDC">
      <w:pPr>
        <w:pStyle w:val="Default"/>
        <w:rPr>
          <w:rFonts w:asciiTheme="minorHAnsi" w:hAnsiTheme="minorHAnsi" w:cstheme="minorHAnsi"/>
          <w:sz w:val="22"/>
        </w:rPr>
      </w:pPr>
    </w:p>
    <w:tbl>
      <w:tblPr>
        <w:tblStyle w:val="TableGrid"/>
        <w:tblW w:w="0" w:type="auto"/>
        <w:tblLook w:val="04A0" w:firstRow="1" w:lastRow="0" w:firstColumn="1" w:lastColumn="0" w:noHBand="0" w:noVBand="1"/>
      </w:tblPr>
      <w:tblGrid>
        <w:gridCol w:w="4106"/>
        <w:gridCol w:w="1934"/>
        <w:gridCol w:w="3020"/>
      </w:tblGrid>
      <w:tr w:rsidR="00944DDC" w:rsidRPr="001A189B" w14:paraId="42F30C39" w14:textId="77777777" w:rsidTr="00930541">
        <w:trPr>
          <w:trHeight w:val="357"/>
        </w:trPr>
        <w:tc>
          <w:tcPr>
            <w:tcW w:w="4106" w:type="dxa"/>
            <w:shd w:val="clear" w:color="auto" w:fill="D9D9D9" w:themeFill="background1" w:themeFillShade="D9"/>
            <w:vAlign w:val="center"/>
          </w:tcPr>
          <w:p w14:paraId="20276FBF"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Document</w:t>
            </w:r>
          </w:p>
        </w:tc>
        <w:tc>
          <w:tcPr>
            <w:tcW w:w="1934" w:type="dxa"/>
            <w:shd w:val="clear" w:color="auto" w:fill="D9D9D9" w:themeFill="background1" w:themeFillShade="D9"/>
            <w:vAlign w:val="center"/>
          </w:tcPr>
          <w:p w14:paraId="23F6C423"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Retention period</w:t>
            </w:r>
          </w:p>
        </w:tc>
        <w:tc>
          <w:tcPr>
            <w:tcW w:w="3020" w:type="dxa"/>
            <w:shd w:val="clear" w:color="auto" w:fill="D9D9D9" w:themeFill="background1" w:themeFillShade="D9"/>
            <w:vAlign w:val="center"/>
          </w:tcPr>
          <w:p w14:paraId="4CCF2CB5"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Reason for retention period</w:t>
            </w:r>
          </w:p>
        </w:tc>
      </w:tr>
      <w:tr w:rsidR="00944DDC" w:rsidRPr="001A189B" w14:paraId="11618433" w14:textId="77777777" w:rsidTr="00587610">
        <w:trPr>
          <w:trHeight w:val="357"/>
        </w:trPr>
        <w:tc>
          <w:tcPr>
            <w:tcW w:w="9060" w:type="dxa"/>
            <w:gridSpan w:val="3"/>
            <w:vAlign w:val="center"/>
          </w:tcPr>
          <w:p w14:paraId="0128B2D7" w14:textId="77777777" w:rsidR="00944DDC" w:rsidRPr="001A189B" w:rsidRDefault="00944DDC" w:rsidP="00587610">
            <w:pPr>
              <w:pStyle w:val="Heading1"/>
              <w:outlineLvl w:val="0"/>
              <w:rPr>
                <w:rFonts w:asciiTheme="minorHAnsi" w:hAnsiTheme="minorHAnsi" w:cstheme="minorHAnsi"/>
                <w:u w:val="none"/>
              </w:rPr>
            </w:pPr>
            <w:r w:rsidRPr="001A189B">
              <w:rPr>
                <w:rFonts w:asciiTheme="minorHAnsi" w:hAnsiTheme="minorHAnsi" w:cstheme="minorHAnsi"/>
                <w:color w:val="116DB6"/>
                <w:sz w:val="24"/>
                <w:szCs w:val="22"/>
                <w:u w:val="none"/>
              </w:rPr>
              <w:t>Purchase invoices and supplier documentation</w:t>
            </w:r>
          </w:p>
        </w:tc>
      </w:tr>
      <w:tr w:rsidR="00944DDC" w:rsidRPr="001A189B" w14:paraId="26C520E4" w14:textId="77777777" w:rsidTr="00587610">
        <w:trPr>
          <w:trHeight w:val="357"/>
        </w:trPr>
        <w:tc>
          <w:tcPr>
            <w:tcW w:w="4106" w:type="dxa"/>
            <w:vAlign w:val="center"/>
          </w:tcPr>
          <w:p w14:paraId="651964CE"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Payments case book or record of payments made</w:t>
            </w:r>
          </w:p>
        </w:tc>
        <w:tc>
          <w:tcPr>
            <w:tcW w:w="1934" w:type="dxa"/>
            <w:vMerge w:val="restart"/>
            <w:shd w:val="clear" w:color="auto" w:fill="auto"/>
            <w:vAlign w:val="center"/>
          </w:tcPr>
          <w:p w14:paraId="1A3D14BB"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0"/>
              </w:rPr>
              <w:t>Six years from the end of the financial year in which the transaction was made</w:t>
            </w:r>
          </w:p>
        </w:tc>
        <w:tc>
          <w:tcPr>
            <w:tcW w:w="3020" w:type="dxa"/>
            <w:vMerge w:val="restart"/>
            <w:shd w:val="clear" w:color="auto" w:fill="auto"/>
            <w:vAlign w:val="center"/>
          </w:tcPr>
          <w:p w14:paraId="34511CA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w:t>
            </w:r>
          </w:p>
        </w:tc>
      </w:tr>
      <w:tr w:rsidR="00944DDC" w:rsidRPr="001A189B" w14:paraId="1B638712" w14:textId="77777777" w:rsidTr="00587610">
        <w:trPr>
          <w:trHeight w:val="357"/>
        </w:trPr>
        <w:tc>
          <w:tcPr>
            <w:tcW w:w="4106" w:type="dxa"/>
            <w:vAlign w:val="center"/>
          </w:tcPr>
          <w:p w14:paraId="738B85B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Purchase ledger</w:t>
            </w:r>
          </w:p>
        </w:tc>
        <w:tc>
          <w:tcPr>
            <w:tcW w:w="1934" w:type="dxa"/>
            <w:vMerge/>
            <w:shd w:val="clear" w:color="auto" w:fill="auto"/>
            <w:vAlign w:val="center"/>
          </w:tcPr>
          <w:p w14:paraId="4A95DB34" w14:textId="77777777" w:rsidR="00944DDC" w:rsidRPr="001A189B" w:rsidRDefault="00944DDC" w:rsidP="00587610">
            <w:pPr>
              <w:pStyle w:val="Default"/>
              <w:rPr>
                <w:rFonts w:asciiTheme="minorHAnsi" w:hAnsiTheme="minorHAnsi" w:cstheme="minorHAnsi"/>
                <w:sz w:val="22"/>
              </w:rPr>
            </w:pPr>
          </w:p>
        </w:tc>
        <w:tc>
          <w:tcPr>
            <w:tcW w:w="3020" w:type="dxa"/>
            <w:vMerge/>
            <w:shd w:val="clear" w:color="auto" w:fill="auto"/>
            <w:vAlign w:val="center"/>
          </w:tcPr>
          <w:p w14:paraId="7207415D" w14:textId="77777777" w:rsidR="00944DDC" w:rsidRPr="001A189B" w:rsidRDefault="00944DDC" w:rsidP="00587610">
            <w:pPr>
              <w:pStyle w:val="Default"/>
              <w:rPr>
                <w:rFonts w:asciiTheme="minorHAnsi" w:hAnsiTheme="minorHAnsi" w:cstheme="minorHAnsi"/>
                <w:sz w:val="22"/>
              </w:rPr>
            </w:pPr>
          </w:p>
        </w:tc>
      </w:tr>
      <w:tr w:rsidR="00944DDC" w:rsidRPr="001A189B" w14:paraId="54D1BE2C" w14:textId="77777777" w:rsidTr="00587610">
        <w:trPr>
          <w:trHeight w:val="357"/>
        </w:trPr>
        <w:tc>
          <w:tcPr>
            <w:tcW w:w="4106" w:type="dxa"/>
            <w:vAlign w:val="center"/>
          </w:tcPr>
          <w:p w14:paraId="544181CC"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Invoice - revenue</w:t>
            </w:r>
          </w:p>
        </w:tc>
        <w:tc>
          <w:tcPr>
            <w:tcW w:w="1934" w:type="dxa"/>
            <w:vMerge/>
            <w:shd w:val="clear" w:color="auto" w:fill="auto"/>
            <w:vAlign w:val="center"/>
          </w:tcPr>
          <w:p w14:paraId="701D5B27" w14:textId="77777777" w:rsidR="00944DDC" w:rsidRPr="001A189B" w:rsidRDefault="00944DDC" w:rsidP="00587610">
            <w:pPr>
              <w:pStyle w:val="Default"/>
              <w:rPr>
                <w:rFonts w:asciiTheme="minorHAnsi" w:hAnsiTheme="minorHAnsi" w:cstheme="minorHAnsi"/>
                <w:sz w:val="22"/>
              </w:rPr>
            </w:pPr>
          </w:p>
        </w:tc>
        <w:tc>
          <w:tcPr>
            <w:tcW w:w="3020" w:type="dxa"/>
            <w:vMerge/>
            <w:shd w:val="clear" w:color="auto" w:fill="auto"/>
            <w:vAlign w:val="center"/>
          </w:tcPr>
          <w:p w14:paraId="313EE486" w14:textId="77777777" w:rsidR="00944DDC" w:rsidRPr="001A189B" w:rsidRDefault="00944DDC" w:rsidP="00587610">
            <w:pPr>
              <w:pStyle w:val="Default"/>
              <w:rPr>
                <w:rFonts w:asciiTheme="minorHAnsi" w:hAnsiTheme="minorHAnsi" w:cstheme="minorHAnsi"/>
                <w:sz w:val="22"/>
              </w:rPr>
            </w:pPr>
          </w:p>
        </w:tc>
      </w:tr>
      <w:tr w:rsidR="00944DDC" w:rsidRPr="001A189B" w14:paraId="4F86D4E1" w14:textId="77777777" w:rsidTr="00587610">
        <w:trPr>
          <w:trHeight w:val="357"/>
        </w:trPr>
        <w:tc>
          <w:tcPr>
            <w:tcW w:w="4106" w:type="dxa"/>
            <w:vAlign w:val="center"/>
          </w:tcPr>
          <w:p w14:paraId="0D79817E"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Petty Cash</w:t>
            </w:r>
          </w:p>
        </w:tc>
        <w:tc>
          <w:tcPr>
            <w:tcW w:w="1934" w:type="dxa"/>
            <w:vMerge/>
            <w:vAlign w:val="center"/>
          </w:tcPr>
          <w:p w14:paraId="09697AA5" w14:textId="77777777" w:rsidR="00944DDC" w:rsidRPr="001A189B" w:rsidRDefault="00944DDC" w:rsidP="00587610">
            <w:pPr>
              <w:pStyle w:val="Default"/>
              <w:rPr>
                <w:rFonts w:asciiTheme="minorHAnsi" w:hAnsiTheme="minorHAnsi" w:cstheme="minorHAnsi"/>
                <w:sz w:val="22"/>
              </w:rPr>
            </w:pPr>
          </w:p>
        </w:tc>
        <w:tc>
          <w:tcPr>
            <w:tcW w:w="3020" w:type="dxa"/>
            <w:vAlign w:val="center"/>
          </w:tcPr>
          <w:p w14:paraId="2E92C47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 &amp; HM Revenue &amp; Customs (HMRC)</w:t>
            </w:r>
          </w:p>
        </w:tc>
      </w:tr>
      <w:tr w:rsidR="00944DDC" w:rsidRPr="001A189B" w14:paraId="784758C9" w14:textId="77777777" w:rsidTr="00587610">
        <w:trPr>
          <w:trHeight w:val="357"/>
        </w:trPr>
        <w:tc>
          <w:tcPr>
            <w:tcW w:w="4106" w:type="dxa"/>
            <w:vAlign w:val="center"/>
          </w:tcPr>
          <w:p w14:paraId="02A18D9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Invoice – capital item</w:t>
            </w:r>
          </w:p>
        </w:tc>
        <w:tc>
          <w:tcPr>
            <w:tcW w:w="1934" w:type="dxa"/>
            <w:vAlign w:val="center"/>
          </w:tcPr>
          <w:p w14:paraId="0AC08E47"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10 years</w:t>
            </w:r>
          </w:p>
        </w:tc>
        <w:tc>
          <w:tcPr>
            <w:tcW w:w="3020" w:type="dxa"/>
            <w:vAlign w:val="center"/>
          </w:tcPr>
          <w:p w14:paraId="181EFFC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 &amp; HMRC</w:t>
            </w:r>
          </w:p>
        </w:tc>
      </w:tr>
      <w:tr w:rsidR="00944DDC" w:rsidRPr="001A189B" w14:paraId="234EB340" w14:textId="77777777" w:rsidTr="00587610">
        <w:trPr>
          <w:trHeight w:val="357"/>
        </w:trPr>
        <w:tc>
          <w:tcPr>
            <w:tcW w:w="9060" w:type="dxa"/>
            <w:gridSpan w:val="3"/>
            <w:vAlign w:val="center"/>
          </w:tcPr>
          <w:p w14:paraId="6426105D" w14:textId="77777777" w:rsidR="00944DDC" w:rsidRPr="001A189B" w:rsidRDefault="00944DDC" w:rsidP="00587610">
            <w:pPr>
              <w:pStyle w:val="Heading1"/>
              <w:outlineLvl w:val="0"/>
              <w:rPr>
                <w:rFonts w:asciiTheme="minorHAnsi" w:hAnsiTheme="minorHAnsi" w:cstheme="minorHAnsi"/>
                <w:u w:val="none"/>
              </w:rPr>
            </w:pPr>
            <w:r w:rsidRPr="001A189B">
              <w:rPr>
                <w:rFonts w:asciiTheme="minorHAnsi" w:hAnsiTheme="minorHAnsi" w:cstheme="minorHAnsi"/>
                <w:color w:val="116DB6"/>
                <w:sz w:val="24"/>
                <w:szCs w:val="22"/>
                <w:u w:val="none"/>
              </w:rPr>
              <w:t>Income/monies received</w:t>
            </w:r>
          </w:p>
        </w:tc>
      </w:tr>
      <w:tr w:rsidR="00944DDC" w:rsidRPr="001A189B" w14:paraId="722ED284" w14:textId="77777777" w:rsidTr="00587610">
        <w:trPr>
          <w:trHeight w:val="357"/>
        </w:trPr>
        <w:tc>
          <w:tcPr>
            <w:tcW w:w="4106" w:type="dxa"/>
            <w:vAlign w:val="center"/>
          </w:tcPr>
          <w:p w14:paraId="1D3F7492"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Bank paying in counterfoils</w:t>
            </w:r>
          </w:p>
        </w:tc>
        <w:tc>
          <w:tcPr>
            <w:tcW w:w="1934" w:type="dxa"/>
            <w:vMerge w:val="restart"/>
            <w:vAlign w:val="center"/>
          </w:tcPr>
          <w:p w14:paraId="2667C21C"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from the end of the financial year in which the transaction was made</w:t>
            </w:r>
          </w:p>
        </w:tc>
        <w:tc>
          <w:tcPr>
            <w:tcW w:w="3020" w:type="dxa"/>
            <w:vMerge w:val="restart"/>
            <w:vAlign w:val="center"/>
          </w:tcPr>
          <w:p w14:paraId="758E6111"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w:t>
            </w:r>
          </w:p>
        </w:tc>
      </w:tr>
      <w:tr w:rsidR="00944DDC" w:rsidRPr="001A189B" w14:paraId="3A661B00" w14:textId="77777777" w:rsidTr="00587610">
        <w:trPr>
          <w:trHeight w:val="357"/>
        </w:trPr>
        <w:tc>
          <w:tcPr>
            <w:tcW w:w="4106" w:type="dxa"/>
            <w:vAlign w:val="center"/>
          </w:tcPr>
          <w:p w14:paraId="094F103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Bank statements</w:t>
            </w:r>
          </w:p>
        </w:tc>
        <w:tc>
          <w:tcPr>
            <w:tcW w:w="1934" w:type="dxa"/>
            <w:vMerge/>
            <w:vAlign w:val="center"/>
          </w:tcPr>
          <w:p w14:paraId="392D9DA4"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260574FF" w14:textId="77777777" w:rsidR="00944DDC" w:rsidRPr="001A189B" w:rsidRDefault="00944DDC" w:rsidP="00587610">
            <w:pPr>
              <w:pStyle w:val="Default"/>
              <w:rPr>
                <w:rFonts w:asciiTheme="minorHAnsi" w:hAnsiTheme="minorHAnsi" w:cstheme="minorHAnsi"/>
                <w:sz w:val="22"/>
              </w:rPr>
            </w:pPr>
          </w:p>
        </w:tc>
      </w:tr>
      <w:tr w:rsidR="00944DDC" w:rsidRPr="001A189B" w14:paraId="5B8712B6" w14:textId="77777777" w:rsidTr="00587610">
        <w:trPr>
          <w:trHeight w:val="357"/>
        </w:trPr>
        <w:tc>
          <w:tcPr>
            <w:tcW w:w="4106" w:type="dxa"/>
            <w:vAlign w:val="center"/>
          </w:tcPr>
          <w:p w14:paraId="7A26A9F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Remittance advices</w:t>
            </w:r>
          </w:p>
        </w:tc>
        <w:tc>
          <w:tcPr>
            <w:tcW w:w="1934" w:type="dxa"/>
            <w:vMerge/>
            <w:vAlign w:val="center"/>
          </w:tcPr>
          <w:p w14:paraId="38532FD7"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6A5F0D1D" w14:textId="77777777" w:rsidR="00944DDC" w:rsidRPr="001A189B" w:rsidRDefault="00944DDC" w:rsidP="00587610">
            <w:pPr>
              <w:pStyle w:val="Default"/>
              <w:rPr>
                <w:rFonts w:asciiTheme="minorHAnsi" w:hAnsiTheme="minorHAnsi" w:cstheme="minorHAnsi"/>
                <w:sz w:val="22"/>
              </w:rPr>
            </w:pPr>
          </w:p>
        </w:tc>
      </w:tr>
      <w:tr w:rsidR="00944DDC" w:rsidRPr="001A189B" w14:paraId="5607C4DF" w14:textId="77777777" w:rsidTr="00587610">
        <w:trPr>
          <w:trHeight w:val="357"/>
        </w:trPr>
        <w:tc>
          <w:tcPr>
            <w:tcW w:w="4106" w:type="dxa"/>
            <w:vAlign w:val="center"/>
          </w:tcPr>
          <w:p w14:paraId="67E5AFA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Correspondence re donations</w:t>
            </w:r>
          </w:p>
        </w:tc>
        <w:tc>
          <w:tcPr>
            <w:tcW w:w="1934" w:type="dxa"/>
            <w:vMerge/>
            <w:vAlign w:val="center"/>
          </w:tcPr>
          <w:p w14:paraId="719063D8"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4B534EED" w14:textId="77777777" w:rsidR="00944DDC" w:rsidRPr="001A189B" w:rsidRDefault="00944DDC" w:rsidP="00587610">
            <w:pPr>
              <w:pStyle w:val="Default"/>
              <w:rPr>
                <w:rFonts w:asciiTheme="minorHAnsi" w:hAnsiTheme="minorHAnsi" w:cstheme="minorHAnsi"/>
                <w:sz w:val="22"/>
              </w:rPr>
            </w:pPr>
          </w:p>
        </w:tc>
      </w:tr>
      <w:tr w:rsidR="00944DDC" w:rsidRPr="001A189B" w14:paraId="4601FE08" w14:textId="77777777" w:rsidTr="00587610">
        <w:trPr>
          <w:trHeight w:val="357"/>
        </w:trPr>
        <w:tc>
          <w:tcPr>
            <w:tcW w:w="4106" w:type="dxa"/>
            <w:vAlign w:val="center"/>
          </w:tcPr>
          <w:p w14:paraId="031872A3"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Bank reconciliations</w:t>
            </w:r>
          </w:p>
        </w:tc>
        <w:tc>
          <w:tcPr>
            <w:tcW w:w="1934" w:type="dxa"/>
            <w:vMerge/>
            <w:vAlign w:val="center"/>
          </w:tcPr>
          <w:p w14:paraId="5BF27F9A"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01160D1F" w14:textId="77777777" w:rsidR="00944DDC" w:rsidRPr="001A189B" w:rsidRDefault="00944DDC" w:rsidP="00587610">
            <w:pPr>
              <w:pStyle w:val="Default"/>
              <w:rPr>
                <w:rFonts w:asciiTheme="minorHAnsi" w:hAnsiTheme="minorHAnsi" w:cstheme="minorHAnsi"/>
                <w:sz w:val="22"/>
              </w:rPr>
            </w:pPr>
          </w:p>
        </w:tc>
      </w:tr>
      <w:tr w:rsidR="00944DDC" w:rsidRPr="001A189B" w14:paraId="041FDC61" w14:textId="77777777" w:rsidTr="00587610">
        <w:trPr>
          <w:trHeight w:val="357"/>
        </w:trPr>
        <w:tc>
          <w:tcPr>
            <w:tcW w:w="4106" w:type="dxa"/>
            <w:vAlign w:val="center"/>
          </w:tcPr>
          <w:p w14:paraId="557B535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Receipts cash book</w:t>
            </w:r>
          </w:p>
        </w:tc>
        <w:tc>
          <w:tcPr>
            <w:tcW w:w="1934" w:type="dxa"/>
            <w:vMerge/>
            <w:vAlign w:val="center"/>
          </w:tcPr>
          <w:p w14:paraId="7739457C" w14:textId="77777777" w:rsidR="00944DDC" w:rsidRPr="001A189B" w:rsidRDefault="00944DDC" w:rsidP="00587610">
            <w:pPr>
              <w:pStyle w:val="Default"/>
              <w:rPr>
                <w:rFonts w:asciiTheme="minorHAnsi" w:hAnsiTheme="minorHAnsi" w:cstheme="minorHAnsi"/>
                <w:sz w:val="20"/>
              </w:rPr>
            </w:pPr>
          </w:p>
        </w:tc>
        <w:tc>
          <w:tcPr>
            <w:tcW w:w="3020" w:type="dxa"/>
            <w:vMerge w:val="restart"/>
            <w:vAlign w:val="center"/>
          </w:tcPr>
          <w:p w14:paraId="6B2BA32D"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 &amp; HMRC</w:t>
            </w:r>
          </w:p>
        </w:tc>
      </w:tr>
      <w:tr w:rsidR="00944DDC" w:rsidRPr="001A189B" w14:paraId="5A892608" w14:textId="77777777" w:rsidTr="00587610">
        <w:trPr>
          <w:trHeight w:val="357"/>
        </w:trPr>
        <w:tc>
          <w:tcPr>
            <w:tcW w:w="4106" w:type="dxa"/>
            <w:vAlign w:val="center"/>
          </w:tcPr>
          <w:p w14:paraId="55561F6C"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Sales ledger</w:t>
            </w:r>
          </w:p>
        </w:tc>
        <w:tc>
          <w:tcPr>
            <w:tcW w:w="1934" w:type="dxa"/>
            <w:vMerge/>
            <w:vAlign w:val="center"/>
          </w:tcPr>
          <w:p w14:paraId="64005630"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7BF7551D" w14:textId="77777777" w:rsidR="00944DDC" w:rsidRPr="001A189B" w:rsidRDefault="00944DDC" w:rsidP="00587610">
            <w:pPr>
              <w:pStyle w:val="Default"/>
              <w:rPr>
                <w:rFonts w:asciiTheme="minorHAnsi" w:hAnsiTheme="minorHAnsi" w:cstheme="minorHAnsi"/>
                <w:sz w:val="22"/>
              </w:rPr>
            </w:pPr>
          </w:p>
        </w:tc>
      </w:tr>
      <w:tr w:rsidR="00944DDC" w:rsidRPr="001A189B" w14:paraId="3F7A3AF4" w14:textId="77777777" w:rsidTr="00587610">
        <w:trPr>
          <w:trHeight w:val="357"/>
        </w:trPr>
        <w:tc>
          <w:tcPr>
            <w:tcW w:w="4106" w:type="dxa"/>
            <w:vAlign w:val="center"/>
          </w:tcPr>
          <w:p w14:paraId="5A84DB5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Deeds of covenant/Gift Aid declarations</w:t>
            </w:r>
          </w:p>
        </w:tc>
        <w:tc>
          <w:tcPr>
            <w:tcW w:w="1934" w:type="dxa"/>
            <w:vAlign w:val="center"/>
          </w:tcPr>
          <w:p w14:paraId="35DFA206"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after the last payment made. 12 years if payments outstanding or dispute regarding the deed</w:t>
            </w:r>
          </w:p>
        </w:tc>
        <w:tc>
          <w:tcPr>
            <w:tcW w:w="3020" w:type="dxa"/>
            <w:vMerge w:val="restart"/>
            <w:vAlign w:val="center"/>
          </w:tcPr>
          <w:p w14:paraId="5F579EF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tc>
      </w:tr>
      <w:tr w:rsidR="00944DDC" w:rsidRPr="001A189B" w14:paraId="15547776" w14:textId="77777777" w:rsidTr="00587610">
        <w:trPr>
          <w:trHeight w:val="357"/>
        </w:trPr>
        <w:tc>
          <w:tcPr>
            <w:tcW w:w="4106" w:type="dxa"/>
            <w:vAlign w:val="center"/>
          </w:tcPr>
          <w:p w14:paraId="4F347895"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Legacies</w:t>
            </w:r>
          </w:p>
        </w:tc>
        <w:tc>
          <w:tcPr>
            <w:tcW w:w="1934" w:type="dxa"/>
            <w:vAlign w:val="center"/>
          </w:tcPr>
          <w:p w14:paraId="2B02D315"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after the estate has been wound up</w:t>
            </w:r>
          </w:p>
        </w:tc>
        <w:tc>
          <w:tcPr>
            <w:tcW w:w="3020" w:type="dxa"/>
            <w:vMerge/>
            <w:vAlign w:val="center"/>
          </w:tcPr>
          <w:p w14:paraId="26689623" w14:textId="77777777" w:rsidR="00944DDC" w:rsidRPr="001A189B" w:rsidRDefault="00944DDC" w:rsidP="00587610">
            <w:pPr>
              <w:pStyle w:val="Default"/>
              <w:rPr>
                <w:rFonts w:asciiTheme="minorHAnsi" w:hAnsiTheme="minorHAnsi" w:cstheme="minorHAnsi"/>
                <w:sz w:val="22"/>
              </w:rPr>
            </w:pPr>
          </w:p>
        </w:tc>
      </w:tr>
    </w:tbl>
    <w:p w14:paraId="5E31EFBD" w14:textId="688E5058" w:rsidR="00944DDC" w:rsidRDefault="00944DDC" w:rsidP="00944DDC">
      <w:pPr>
        <w:rPr>
          <w:rFonts w:asciiTheme="minorHAnsi" w:hAnsiTheme="minorHAnsi" w:cstheme="minorHAnsi"/>
        </w:rPr>
      </w:pPr>
    </w:p>
    <w:p w14:paraId="36AD3801" w14:textId="77777777" w:rsidR="00E264E1" w:rsidRPr="001A189B" w:rsidRDefault="00E264E1" w:rsidP="00944DDC">
      <w:pPr>
        <w:rPr>
          <w:rFonts w:asciiTheme="minorHAnsi" w:hAnsiTheme="minorHAnsi" w:cstheme="minorHAnsi"/>
        </w:rPr>
      </w:pPr>
    </w:p>
    <w:tbl>
      <w:tblPr>
        <w:tblStyle w:val="TableGrid"/>
        <w:tblW w:w="0" w:type="auto"/>
        <w:tblLook w:val="04A0" w:firstRow="1" w:lastRow="0" w:firstColumn="1" w:lastColumn="0" w:noHBand="0" w:noVBand="1"/>
      </w:tblPr>
      <w:tblGrid>
        <w:gridCol w:w="4106"/>
        <w:gridCol w:w="1934"/>
        <w:gridCol w:w="3020"/>
      </w:tblGrid>
      <w:tr w:rsidR="00944DDC" w:rsidRPr="001A189B" w14:paraId="548B9C03" w14:textId="77777777" w:rsidTr="00930541">
        <w:trPr>
          <w:trHeight w:val="357"/>
        </w:trPr>
        <w:tc>
          <w:tcPr>
            <w:tcW w:w="4106" w:type="dxa"/>
            <w:shd w:val="clear" w:color="auto" w:fill="D9D9D9" w:themeFill="background1" w:themeFillShade="D9"/>
            <w:vAlign w:val="center"/>
          </w:tcPr>
          <w:p w14:paraId="3CC7183A"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Document</w:t>
            </w:r>
          </w:p>
        </w:tc>
        <w:tc>
          <w:tcPr>
            <w:tcW w:w="1934" w:type="dxa"/>
            <w:shd w:val="clear" w:color="auto" w:fill="D9D9D9" w:themeFill="background1" w:themeFillShade="D9"/>
            <w:vAlign w:val="center"/>
          </w:tcPr>
          <w:p w14:paraId="3CF9387F"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Retention period</w:t>
            </w:r>
          </w:p>
        </w:tc>
        <w:tc>
          <w:tcPr>
            <w:tcW w:w="3020" w:type="dxa"/>
            <w:shd w:val="clear" w:color="auto" w:fill="D9D9D9" w:themeFill="background1" w:themeFillShade="D9"/>
            <w:vAlign w:val="center"/>
          </w:tcPr>
          <w:p w14:paraId="3FF9284B"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Reason for retention period</w:t>
            </w:r>
          </w:p>
        </w:tc>
      </w:tr>
      <w:tr w:rsidR="00944DDC" w:rsidRPr="001A189B" w14:paraId="420ABDA1" w14:textId="77777777" w:rsidTr="00587610">
        <w:trPr>
          <w:trHeight w:val="357"/>
        </w:trPr>
        <w:tc>
          <w:tcPr>
            <w:tcW w:w="9060" w:type="dxa"/>
            <w:gridSpan w:val="3"/>
            <w:vAlign w:val="center"/>
          </w:tcPr>
          <w:p w14:paraId="0AED05F8" w14:textId="77777777" w:rsidR="00944DDC" w:rsidRPr="00930541" w:rsidRDefault="00944DDC" w:rsidP="00587610">
            <w:pPr>
              <w:pStyle w:val="Heading1"/>
              <w:outlineLvl w:val="0"/>
              <w:rPr>
                <w:rFonts w:asciiTheme="minorHAnsi" w:hAnsiTheme="minorHAnsi" w:cstheme="minorHAnsi"/>
                <w:u w:val="none"/>
              </w:rPr>
            </w:pPr>
            <w:r w:rsidRPr="00930541">
              <w:rPr>
                <w:rFonts w:asciiTheme="minorHAnsi" w:hAnsiTheme="minorHAnsi" w:cstheme="minorHAnsi"/>
                <w:color w:val="116DB6"/>
                <w:sz w:val="24"/>
                <w:szCs w:val="22"/>
                <w:u w:val="none"/>
              </w:rPr>
              <w:t>Payroll documentation</w:t>
            </w:r>
          </w:p>
        </w:tc>
      </w:tr>
      <w:tr w:rsidR="00944DDC" w:rsidRPr="001A189B" w14:paraId="56D2AB0F" w14:textId="77777777" w:rsidTr="00587610">
        <w:trPr>
          <w:trHeight w:val="357"/>
        </w:trPr>
        <w:tc>
          <w:tcPr>
            <w:tcW w:w="4106" w:type="dxa"/>
            <w:vAlign w:val="center"/>
          </w:tcPr>
          <w:p w14:paraId="3119AEB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Income tax records re employees leaving I.e. P45</w:t>
            </w:r>
          </w:p>
        </w:tc>
        <w:tc>
          <w:tcPr>
            <w:tcW w:w="1934" w:type="dxa"/>
            <w:vMerge w:val="restart"/>
            <w:vAlign w:val="center"/>
          </w:tcPr>
          <w:p w14:paraId="41508B88"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plus current year</w:t>
            </w:r>
          </w:p>
        </w:tc>
        <w:tc>
          <w:tcPr>
            <w:tcW w:w="3020" w:type="dxa"/>
            <w:vMerge w:val="restart"/>
            <w:vAlign w:val="center"/>
          </w:tcPr>
          <w:p w14:paraId="4A05AD35"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Taxes Management Act</w:t>
            </w:r>
          </w:p>
        </w:tc>
      </w:tr>
      <w:tr w:rsidR="00944DDC" w:rsidRPr="001A189B" w14:paraId="79C5EB6C" w14:textId="77777777" w:rsidTr="00587610">
        <w:trPr>
          <w:trHeight w:val="357"/>
        </w:trPr>
        <w:tc>
          <w:tcPr>
            <w:tcW w:w="4106" w:type="dxa"/>
            <w:vAlign w:val="center"/>
          </w:tcPr>
          <w:p w14:paraId="6AF9525C"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Notice to employer of tax code (P6)</w:t>
            </w:r>
          </w:p>
        </w:tc>
        <w:tc>
          <w:tcPr>
            <w:tcW w:w="1934" w:type="dxa"/>
            <w:vMerge/>
            <w:vAlign w:val="center"/>
          </w:tcPr>
          <w:p w14:paraId="79D9938C"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2AFE5314" w14:textId="77777777" w:rsidR="00944DDC" w:rsidRPr="001A189B" w:rsidRDefault="00944DDC" w:rsidP="00587610">
            <w:pPr>
              <w:pStyle w:val="Default"/>
              <w:rPr>
                <w:rFonts w:asciiTheme="minorHAnsi" w:hAnsiTheme="minorHAnsi" w:cstheme="minorHAnsi"/>
                <w:sz w:val="22"/>
              </w:rPr>
            </w:pPr>
          </w:p>
        </w:tc>
      </w:tr>
      <w:tr w:rsidR="00944DDC" w:rsidRPr="001A189B" w14:paraId="0509E3AF" w14:textId="77777777" w:rsidTr="00587610">
        <w:trPr>
          <w:trHeight w:val="357"/>
        </w:trPr>
        <w:tc>
          <w:tcPr>
            <w:tcW w:w="4106" w:type="dxa"/>
            <w:vAlign w:val="center"/>
          </w:tcPr>
          <w:p w14:paraId="38E5812D"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Annual return of employees’ and directors’ expenses and benefits (P11D)</w:t>
            </w:r>
          </w:p>
        </w:tc>
        <w:tc>
          <w:tcPr>
            <w:tcW w:w="1934" w:type="dxa"/>
            <w:vMerge/>
            <w:vAlign w:val="center"/>
          </w:tcPr>
          <w:p w14:paraId="57996766"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33209BE8" w14:textId="77777777" w:rsidR="00944DDC" w:rsidRPr="001A189B" w:rsidRDefault="00944DDC" w:rsidP="00587610">
            <w:pPr>
              <w:pStyle w:val="Default"/>
              <w:rPr>
                <w:rFonts w:asciiTheme="minorHAnsi" w:hAnsiTheme="minorHAnsi" w:cstheme="minorHAnsi"/>
                <w:sz w:val="22"/>
              </w:rPr>
            </w:pPr>
          </w:p>
        </w:tc>
      </w:tr>
      <w:tr w:rsidR="00944DDC" w:rsidRPr="001A189B" w14:paraId="140C5D84" w14:textId="77777777" w:rsidTr="00587610">
        <w:trPr>
          <w:trHeight w:val="357"/>
        </w:trPr>
        <w:tc>
          <w:tcPr>
            <w:tcW w:w="4106" w:type="dxa"/>
            <w:vAlign w:val="center"/>
          </w:tcPr>
          <w:p w14:paraId="6770603A"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Certificate of pay and tax deducted</w:t>
            </w:r>
          </w:p>
        </w:tc>
        <w:tc>
          <w:tcPr>
            <w:tcW w:w="1934" w:type="dxa"/>
            <w:vMerge/>
            <w:vAlign w:val="center"/>
          </w:tcPr>
          <w:p w14:paraId="5D287EFD"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759C9BA7" w14:textId="77777777" w:rsidR="00944DDC" w:rsidRPr="001A189B" w:rsidRDefault="00944DDC" w:rsidP="00587610">
            <w:pPr>
              <w:pStyle w:val="Default"/>
              <w:rPr>
                <w:rFonts w:asciiTheme="minorHAnsi" w:hAnsiTheme="minorHAnsi" w:cstheme="minorHAnsi"/>
                <w:sz w:val="22"/>
              </w:rPr>
            </w:pPr>
          </w:p>
        </w:tc>
      </w:tr>
      <w:tr w:rsidR="00944DDC" w:rsidRPr="001A189B" w14:paraId="2FB54299" w14:textId="77777777" w:rsidTr="00587610">
        <w:trPr>
          <w:trHeight w:val="357"/>
        </w:trPr>
        <w:tc>
          <w:tcPr>
            <w:tcW w:w="4106" w:type="dxa"/>
            <w:vAlign w:val="center"/>
          </w:tcPr>
          <w:p w14:paraId="396C5091"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Notice of tax code change</w:t>
            </w:r>
          </w:p>
        </w:tc>
        <w:tc>
          <w:tcPr>
            <w:tcW w:w="1934" w:type="dxa"/>
            <w:vMerge/>
            <w:vAlign w:val="center"/>
          </w:tcPr>
          <w:p w14:paraId="0B5BACAF" w14:textId="77777777" w:rsidR="00944DDC" w:rsidRPr="001A189B" w:rsidRDefault="00944DDC" w:rsidP="00587610">
            <w:pPr>
              <w:pStyle w:val="Default"/>
              <w:rPr>
                <w:rFonts w:asciiTheme="minorHAnsi" w:hAnsiTheme="minorHAnsi" w:cstheme="minorHAnsi"/>
                <w:sz w:val="22"/>
              </w:rPr>
            </w:pPr>
          </w:p>
        </w:tc>
        <w:tc>
          <w:tcPr>
            <w:tcW w:w="3020" w:type="dxa"/>
            <w:vMerge/>
            <w:vAlign w:val="center"/>
          </w:tcPr>
          <w:p w14:paraId="56FC7F87" w14:textId="77777777" w:rsidR="00944DDC" w:rsidRPr="001A189B" w:rsidRDefault="00944DDC" w:rsidP="00587610">
            <w:pPr>
              <w:pStyle w:val="Default"/>
              <w:rPr>
                <w:rFonts w:asciiTheme="minorHAnsi" w:hAnsiTheme="minorHAnsi" w:cstheme="minorHAnsi"/>
                <w:sz w:val="22"/>
              </w:rPr>
            </w:pPr>
          </w:p>
        </w:tc>
      </w:tr>
      <w:tr w:rsidR="00944DDC" w:rsidRPr="001A189B" w14:paraId="4DDB29F9" w14:textId="77777777" w:rsidTr="00587610">
        <w:trPr>
          <w:trHeight w:val="357"/>
        </w:trPr>
        <w:tc>
          <w:tcPr>
            <w:tcW w:w="4106" w:type="dxa"/>
            <w:vAlign w:val="center"/>
          </w:tcPr>
          <w:p w14:paraId="57C8B847"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Annual return of taxable pay and tax deducted</w:t>
            </w:r>
          </w:p>
        </w:tc>
        <w:tc>
          <w:tcPr>
            <w:tcW w:w="1934" w:type="dxa"/>
            <w:vMerge/>
            <w:vAlign w:val="center"/>
          </w:tcPr>
          <w:p w14:paraId="4A526DAF" w14:textId="77777777" w:rsidR="00944DDC" w:rsidRPr="001A189B" w:rsidRDefault="00944DDC" w:rsidP="00587610">
            <w:pPr>
              <w:pStyle w:val="Default"/>
              <w:rPr>
                <w:rFonts w:asciiTheme="minorHAnsi" w:hAnsiTheme="minorHAnsi" w:cstheme="minorHAnsi"/>
                <w:sz w:val="22"/>
              </w:rPr>
            </w:pPr>
          </w:p>
        </w:tc>
        <w:tc>
          <w:tcPr>
            <w:tcW w:w="3020" w:type="dxa"/>
            <w:vMerge/>
            <w:vAlign w:val="center"/>
          </w:tcPr>
          <w:p w14:paraId="5746B002" w14:textId="77777777" w:rsidR="00944DDC" w:rsidRPr="001A189B" w:rsidRDefault="00944DDC" w:rsidP="00587610">
            <w:pPr>
              <w:pStyle w:val="Default"/>
              <w:rPr>
                <w:rFonts w:asciiTheme="minorHAnsi" w:hAnsiTheme="minorHAnsi" w:cstheme="minorHAnsi"/>
                <w:sz w:val="22"/>
              </w:rPr>
            </w:pPr>
          </w:p>
        </w:tc>
      </w:tr>
      <w:tr w:rsidR="00944DDC" w:rsidRPr="001A189B" w14:paraId="3D9FF6B9" w14:textId="77777777" w:rsidTr="00587610">
        <w:trPr>
          <w:trHeight w:val="357"/>
        </w:trPr>
        <w:tc>
          <w:tcPr>
            <w:tcW w:w="4106" w:type="dxa"/>
            <w:vAlign w:val="center"/>
          </w:tcPr>
          <w:p w14:paraId="6BE608DA"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Records of pension deductions</w:t>
            </w:r>
          </w:p>
        </w:tc>
        <w:tc>
          <w:tcPr>
            <w:tcW w:w="1934" w:type="dxa"/>
            <w:vMerge/>
            <w:vAlign w:val="center"/>
          </w:tcPr>
          <w:p w14:paraId="72EE7367" w14:textId="77777777" w:rsidR="00944DDC" w:rsidRPr="001A189B" w:rsidRDefault="00944DDC" w:rsidP="00587610">
            <w:pPr>
              <w:pStyle w:val="Default"/>
              <w:rPr>
                <w:rFonts w:asciiTheme="minorHAnsi" w:hAnsiTheme="minorHAnsi" w:cstheme="minorHAnsi"/>
                <w:sz w:val="22"/>
              </w:rPr>
            </w:pPr>
          </w:p>
        </w:tc>
        <w:tc>
          <w:tcPr>
            <w:tcW w:w="3020" w:type="dxa"/>
            <w:vAlign w:val="center"/>
          </w:tcPr>
          <w:p w14:paraId="40CE18F3"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Pensions Act</w:t>
            </w:r>
          </w:p>
        </w:tc>
      </w:tr>
      <w:tr w:rsidR="00944DDC" w:rsidRPr="001A189B" w14:paraId="53E4A2A0" w14:textId="77777777" w:rsidTr="00587610">
        <w:trPr>
          <w:trHeight w:val="357"/>
        </w:trPr>
        <w:tc>
          <w:tcPr>
            <w:tcW w:w="4106" w:type="dxa"/>
            <w:vAlign w:val="center"/>
          </w:tcPr>
          <w:p w14:paraId="3CC8E5E2"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Clock cards</w:t>
            </w:r>
          </w:p>
        </w:tc>
        <w:tc>
          <w:tcPr>
            <w:tcW w:w="1934" w:type="dxa"/>
            <w:vAlign w:val="center"/>
          </w:tcPr>
          <w:p w14:paraId="0227DE4E"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0"/>
              </w:rPr>
              <w:t>Two years after audit</w:t>
            </w:r>
          </w:p>
        </w:tc>
        <w:tc>
          <w:tcPr>
            <w:tcW w:w="3020" w:type="dxa"/>
            <w:vAlign w:val="center"/>
          </w:tcPr>
          <w:p w14:paraId="4E88099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Audit</w:t>
            </w:r>
          </w:p>
        </w:tc>
      </w:tr>
      <w:tr w:rsidR="00944DDC" w:rsidRPr="001A189B" w14:paraId="0F33302D" w14:textId="77777777" w:rsidTr="00587610">
        <w:trPr>
          <w:trHeight w:val="357"/>
        </w:trPr>
        <w:tc>
          <w:tcPr>
            <w:tcW w:w="4106" w:type="dxa"/>
            <w:vAlign w:val="center"/>
          </w:tcPr>
          <w:p w14:paraId="053FAA85"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Payroll and payroll control account</w:t>
            </w:r>
          </w:p>
        </w:tc>
        <w:tc>
          <w:tcPr>
            <w:tcW w:w="1934" w:type="dxa"/>
            <w:vAlign w:val="center"/>
          </w:tcPr>
          <w:p w14:paraId="767D7459"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0"/>
              </w:rPr>
              <w:t>Six years plus current year</w:t>
            </w:r>
          </w:p>
        </w:tc>
        <w:tc>
          <w:tcPr>
            <w:tcW w:w="3020" w:type="dxa"/>
            <w:vAlign w:val="center"/>
          </w:tcPr>
          <w:p w14:paraId="45E577D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 &amp; Taxes Management Act</w:t>
            </w:r>
          </w:p>
        </w:tc>
      </w:tr>
      <w:tr w:rsidR="00944DDC" w:rsidRPr="001A189B" w14:paraId="5DD9CADE" w14:textId="77777777" w:rsidTr="00587610">
        <w:trPr>
          <w:trHeight w:val="357"/>
        </w:trPr>
        <w:tc>
          <w:tcPr>
            <w:tcW w:w="9060" w:type="dxa"/>
            <w:gridSpan w:val="3"/>
            <w:vAlign w:val="center"/>
          </w:tcPr>
          <w:p w14:paraId="39CBE33F" w14:textId="77777777" w:rsidR="00944DDC" w:rsidRPr="00930541" w:rsidRDefault="00944DDC" w:rsidP="00587610">
            <w:pPr>
              <w:pStyle w:val="Heading1"/>
              <w:outlineLvl w:val="0"/>
              <w:rPr>
                <w:rFonts w:asciiTheme="minorHAnsi" w:hAnsiTheme="minorHAnsi" w:cstheme="minorHAnsi"/>
                <w:u w:val="none"/>
              </w:rPr>
            </w:pPr>
            <w:r w:rsidRPr="00930541">
              <w:rPr>
                <w:rFonts w:asciiTheme="minorHAnsi" w:hAnsiTheme="minorHAnsi" w:cstheme="minorHAnsi"/>
                <w:color w:val="116DB6"/>
                <w:sz w:val="24"/>
                <w:szCs w:val="22"/>
                <w:u w:val="none"/>
              </w:rPr>
              <w:t>Employee/personnel records</w:t>
            </w:r>
          </w:p>
        </w:tc>
      </w:tr>
      <w:tr w:rsidR="00944DDC" w:rsidRPr="001A189B" w14:paraId="08F3F093" w14:textId="77777777" w:rsidTr="00587610">
        <w:trPr>
          <w:trHeight w:val="357"/>
        </w:trPr>
        <w:tc>
          <w:tcPr>
            <w:tcW w:w="4106" w:type="dxa"/>
            <w:vAlign w:val="center"/>
          </w:tcPr>
          <w:p w14:paraId="07487E7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Accident books, accident records/reports</w:t>
            </w:r>
          </w:p>
        </w:tc>
        <w:tc>
          <w:tcPr>
            <w:tcW w:w="1934" w:type="dxa"/>
            <w:vAlign w:val="center"/>
          </w:tcPr>
          <w:p w14:paraId="03287094"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0"/>
              </w:rPr>
              <w:t>Three years after last entry or end of investigation if later</w:t>
            </w:r>
          </w:p>
        </w:tc>
        <w:tc>
          <w:tcPr>
            <w:tcW w:w="3020" w:type="dxa"/>
            <w:vAlign w:val="center"/>
          </w:tcPr>
          <w:p w14:paraId="41738CF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Reporting of Injuries, Diseases and Dangerous Occurrences Regulations 1995</w:t>
            </w:r>
          </w:p>
        </w:tc>
      </w:tr>
      <w:tr w:rsidR="00944DDC" w:rsidRPr="001A189B" w14:paraId="5E9814C7" w14:textId="77777777" w:rsidTr="00587610">
        <w:trPr>
          <w:trHeight w:val="357"/>
        </w:trPr>
        <w:tc>
          <w:tcPr>
            <w:tcW w:w="4106" w:type="dxa"/>
            <w:vAlign w:val="center"/>
          </w:tcPr>
          <w:p w14:paraId="1160DFCB"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Personnel files and training records</w:t>
            </w:r>
          </w:p>
        </w:tc>
        <w:tc>
          <w:tcPr>
            <w:tcW w:w="1934" w:type="dxa"/>
            <w:vAlign w:val="center"/>
          </w:tcPr>
          <w:p w14:paraId="4C761E8D"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Maximum six years after the employment ceased</w:t>
            </w:r>
          </w:p>
        </w:tc>
        <w:tc>
          <w:tcPr>
            <w:tcW w:w="3020" w:type="dxa"/>
            <w:vAlign w:val="center"/>
          </w:tcPr>
          <w:p w14:paraId="6A7EDCB7"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Limitations Act</w:t>
            </w:r>
          </w:p>
          <w:p w14:paraId="1FE63BFD"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tc>
      </w:tr>
      <w:tr w:rsidR="00944DDC" w:rsidRPr="001A189B" w14:paraId="73B079D9" w14:textId="77777777" w:rsidTr="00587610">
        <w:trPr>
          <w:trHeight w:val="357"/>
        </w:trPr>
        <w:tc>
          <w:tcPr>
            <w:tcW w:w="4106" w:type="dxa"/>
            <w:vAlign w:val="center"/>
          </w:tcPr>
          <w:p w14:paraId="0B61F52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Wages &amp; salary records</w:t>
            </w:r>
          </w:p>
        </w:tc>
        <w:tc>
          <w:tcPr>
            <w:tcW w:w="1934" w:type="dxa"/>
            <w:vMerge w:val="restart"/>
            <w:vAlign w:val="center"/>
          </w:tcPr>
          <w:p w14:paraId="4806B15C"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plus current year</w:t>
            </w:r>
          </w:p>
        </w:tc>
        <w:tc>
          <w:tcPr>
            <w:tcW w:w="3020" w:type="dxa"/>
            <w:vMerge w:val="restart"/>
            <w:vAlign w:val="center"/>
          </w:tcPr>
          <w:p w14:paraId="43CEE83E"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Taxes Management Act</w:t>
            </w:r>
          </w:p>
        </w:tc>
      </w:tr>
      <w:tr w:rsidR="00944DDC" w:rsidRPr="001A189B" w14:paraId="06BA73D4" w14:textId="77777777" w:rsidTr="00587610">
        <w:trPr>
          <w:trHeight w:val="357"/>
        </w:trPr>
        <w:tc>
          <w:tcPr>
            <w:tcW w:w="4106" w:type="dxa"/>
            <w:vAlign w:val="center"/>
          </w:tcPr>
          <w:p w14:paraId="543F662D"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Expense accounts/records</w:t>
            </w:r>
          </w:p>
        </w:tc>
        <w:tc>
          <w:tcPr>
            <w:tcW w:w="1934" w:type="dxa"/>
            <w:vMerge/>
            <w:vAlign w:val="center"/>
          </w:tcPr>
          <w:p w14:paraId="1F3FBF5D"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6B9D25A7" w14:textId="77777777" w:rsidR="00944DDC" w:rsidRPr="001A189B" w:rsidRDefault="00944DDC" w:rsidP="00587610">
            <w:pPr>
              <w:pStyle w:val="Default"/>
              <w:rPr>
                <w:rFonts w:asciiTheme="minorHAnsi" w:hAnsiTheme="minorHAnsi" w:cstheme="minorHAnsi"/>
                <w:sz w:val="22"/>
              </w:rPr>
            </w:pPr>
          </w:p>
        </w:tc>
      </w:tr>
      <w:tr w:rsidR="00944DDC" w:rsidRPr="001A189B" w14:paraId="1589C709" w14:textId="77777777" w:rsidTr="00587610">
        <w:trPr>
          <w:trHeight w:val="357"/>
        </w:trPr>
        <w:tc>
          <w:tcPr>
            <w:tcW w:w="4106" w:type="dxa"/>
            <w:vAlign w:val="center"/>
          </w:tcPr>
          <w:p w14:paraId="39FA3EBE"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Overtime records/authorisation</w:t>
            </w:r>
          </w:p>
        </w:tc>
        <w:tc>
          <w:tcPr>
            <w:tcW w:w="1934" w:type="dxa"/>
            <w:vMerge/>
            <w:vAlign w:val="center"/>
          </w:tcPr>
          <w:p w14:paraId="5045D7BD" w14:textId="77777777" w:rsidR="00944DDC" w:rsidRPr="001A189B" w:rsidRDefault="00944DDC" w:rsidP="00587610">
            <w:pPr>
              <w:pStyle w:val="Default"/>
              <w:rPr>
                <w:rFonts w:asciiTheme="minorHAnsi" w:hAnsiTheme="minorHAnsi" w:cstheme="minorHAnsi"/>
                <w:sz w:val="20"/>
              </w:rPr>
            </w:pPr>
          </w:p>
        </w:tc>
        <w:tc>
          <w:tcPr>
            <w:tcW w:w="3020" w:type="dxa"/>
            <w:vMerge/>
            <w:vAlign w:val="center"/>
          </w:tcPr>
          <w:p w14:paraId="227249E6" w14:textId="77777777" w:rsidR="00944DDC" w:rsidRPr="001A189B" w:rsidRDefault="00944DDC" w:rsidP="00587610">
            <w:pPr>
              <w:pStyle w:val="Default"/>
              <w:rPr>
                <w:rFonts w:asciiTheme="minorHAnsi" w:hAnsiTheme="minorHAnsi" w:cstheme="minorHAnsi"/>
                <w:sz w:val="22"/>
              </w:rPr>
            </w:pPr>
          </w:p>
        </w:tc>
      </w:tr>
      <w:tr w:rsidR="00944DDC" w:rsidRPr="001A189B" w14:paraId="53728383" w14:textId="77777777" w:rsidTr="00587610">
        <w:trPr>
          <w:trHeight w:val="357"/>
        </w:trPr>
        <w:tc>
          <w:tcPr>
            <w:tcW w:w="4106" w:type="dxa"/>
            <w:vAlign w:val="center"/>
          </w:tcPr>
          <w:p w14:paraId="61A56CE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Redundancy details, calculations of payments, refunds, notifications to the Secretary of State</w:t>
            </w:r>
          </w:p>
        </w:tc>
        <w:tc>
          <w:tcPr>
            <w:tcW w:w="1934" w:type="dxa"/>
            <w:vAlign w:val="center"/>
          </w:tcPr>
          <w:p w14:paraId="224EA797"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after the employment has ceased</w:t>
            </w:r>
          </w:p>
        </w:tc>
        <w:tc>
          <w:tcPr>
            <w:tcW w:w="3020" w:type="dxa"/>
            <w:vMerge w:val="restart"/>
            <w:vAlign w:val="center"/>
          </w:tcPr>
          <w:p w14:paraId="3E801A02"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tc>
      </w:tr>
      <w:tr w:rsidR="00944DDC" w:rsidRPr="001A189B" w14:paraId="0858CD65" w14:textId="77777777" w:rsidTr="00587610">
        <w:trPr>
          <w:trHeight w:val="357"/>
        </w:trPr>
        <w:tc>
          <w:tcPr>
            <w:tcW w:w="4106" w:type="dxa"/>
            <w:vAlign w:val="center"/>
          </w:tcPr>
          <w:p w14:paraId="6B2C08B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Life Assurance expression of wishes</w:t>
            </w:r>
          </w:p>
        </w:tc>
        <w:tc>
          <w:tcPr>
            <w:tcW w:w="1934" w:type="dxa"/>
            <w:vAlign w:val="center"/>
          </w:tcPr>
          <w:p w14:paraId="13562873"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after employment ceases or death</w:t>
            </w:r>
          </w:p>
        </w:tc>
        <w:tc>
          <w:tcPr>
            <w:tcW w:w="3020" w:type="dxa"/>
            <w:vMerge/>
            <w:vAlign w:val="center"/>
          </w:tcPr>
          <w:p w14:paraId="6B5A7574" w14:textId="77777777" w:rsidR="00944DDC" w:rsidRPr="001A189B" w:rsidRDefault="00944DDC" w:rsidP="00587610">
            <w:pPr>
              <w:pStyle w:val="Default"/>
              <w:rPr>
                <w:rFonts w:asciiTheme="minorHAnsi" w:hAnsiTheme="minorHAnsi" w:cstheme="minorHAnsi"/>
                <w:sz w:val="22"/>
              </w:rPr>
            </w:pPr>
          </w:p>
        </w:tc>
      </w:tr>
      <w:tr w:rsidR="00944DDC" w:rsidRPr="001A189B" w14:paraId="7BE072D4" w14:textId="77777777" w:rsidTr="00587610">
        <w:trPr>
          <w:trHeight w:val="357"/>
        </w:trPr>
        <w:tc>
          <w:tcPr>
            <w:tcW w:w="4106" w:type="dxa"/>
            <w:vAlign w:val="center"/>
          </w:tcPr>
          <w:p w14:paraId="51CC3EAF"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Records relating to working time</w:t>
            </w:r>
          </w:p>
        </w:tc>
        <w:tc>
          <w:tcPr>
            <w:tcW w:w="1934" w:type="dxa"/>
            <w:vAlign w:val="center"/>
          </w:tcPr>
          <w:p w14:paraId="238D92BF"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Two years from date on which they were made</w:t>
            </w:r>
          </w:p>
        </w:tc>
        <w:tc>
          <w:tcPr>
            <w:tcW w:w="3020" w:type="dxa"/>
            <w:vAlign w:val="center"/>
          </w:tcPr>
          <w:p w14:paraId="094374B1"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The Working Time Regulations</w:t>
            </w:r>
          </w:p>
        </w:tc>
      </w:tr>
      <w:tr w:rsidR="00944DDC" w:rsidRPr="001A189B" w14:paraId="7F051509" w14:textId="77777777" w:rsidTr="00587610">
        <w:trPr>
          <w:trHeight w:val="357"/>
        </w:trPr>
        <w:tc>
          <w:tcPr>
            <w:tcW w:w="4106" w:type="dxa"/>
            <w:vAlign w:val="center"/>
          </w:tcPr>
          <w:p w14:paraId="6CA2289F"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Application forms and interview notes (unsuccessful candidates)</w:t>
            </w:r>
          </w:p>
        </w:tc>
        <w:tc>
          <w:tcPr>
            <w:tcW w:w="1934" w:type="dxa"/>
            <w:vAlign w:val="center"/>
          </w:tcPr>
          <w:p w14:paraId="23FD5479"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months to a year</w:t>
            </w:r>
          </w:p>
        </w:tc>
        <w:tc>
          <w:tcPr>
            <w:tcW w:w="3020" w:type="dxa"/>
            <w:vAlign w:val="center"/>
          </w:tcPr>
          <w:p w14:paraId="489E7169"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Disability Discrimination Act</w:t>
            </w:r>
          </w:p>
          <w:p w14:paraId="01719F9E"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Race Relations Act</w:t>
            </w:r>
          </w:p>
        </w:tc>
      </w:tr>
      <w:tr w:rsidR="00944DDC" w:rsidRPr="001A189B" w14:paraId="06EAE424" w14:textId="77777777" w:rsidTr="00587610">
        <w:trPr>
          <w:trHeight w:val="357"/>
        </w:trPr>
        <w:tc>
          <w:tcPr>
            <w:tcW w:w="4106" w:type="dxa"/>
            <w:vAlign w:val="center"/>
          </w:tcPr>
          <w:p w14:paraId="0104F3A9"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Statutory Maternity Pay records, calculations, certificates or other medical evidence</w:t>
            </w:r>
          </w:p>
        </w:tc>
        <w:tc>
          <w:tcPr>
            <w:tcW w:w="1934" w:type="dxa"/>
            <w:vAlign w:val="center"/>
          </w:tcPr>
          <w:p w14:paraId="36043CF0"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Three years after the end of the tax year in which maternity period ends</w:t>
            </w:r>
          </w:p>
        </w:tc>
        <w:tc>
          <w:tcPr>
            <w:tcW w:w="3020" w:type="dxa"/>
            <w:vAlign w:val="center"/>
          </w:tcPr>
          <w:p w14:paraId="5BA292E9"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Statutory Maternity Pay Regulations</w:t>
            </w:r>
          </w:p>
        </w:tc>
      </w:tr>
      <w:tr w:rsidR="00944DDC" w:rsidRPr="001A189B" w14:paraId="6833A750" w14:textId="77777777" w:rsidTr="00587610">
        <w:trPr>
          <w:trHeight w:val="357"/>
        </w:trPr>
        <w:tc>
          <w:tcPr>
            <w:tcW w:w="4106" w:type="dxa"/>
            <w:vAlign w:val="center"/>
          </w:tcPr>
          <w:p w14:paraId="7C3EF757"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Statutory Sick Pay records, calculations, certificates, self-certificates</w:t>
            </w:r>
          </w:p>
        </w:tc>
        <w:tc>
          <w:tcPr>
            <w:tcW w:w="1934" w:type="dxa"/>
            <w:vAlign w:val="center"/>
          </w:tcPr>
          <w:p w14:paraId="16A3C2A3"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 xml:space="preserve">Three years after the end of each tax year </w:t>
            </w:r>
          </w:p>
        </w:tc>
        <w:tc>
          <w:tcPr>
            <w:tcW w:w="3020" w:type="dxa"/>
            <w:vAlign w:val="center"/>
          </w:tcPr>
          <w:p w14:paraId="236EAEC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Statutory Sick Pay (General) Regulations</w:t>
            </w:r>
          </w:p>
        </w:tc>
      </w:tr>
    </w:tbl>
    <w:p w14:paraId="20A6898C" w14:textId="4E77B65C" w:rsidR="00E264E1" w:rsidRDefault="00E264E1" w:rsidP="00944DDC">
      <w:pPr>
        <w:rPr>
          <w:rFonts w:asciiTheme="minorHAnsi" w:hAnsiTheme="minorHAnsi" w:cstheme="minorHAnsi"/>
        </w:rPr>
      </w:pPr>
    </w:p>
    <w:p w14:paraId="619BB379" w14:textId="77777777" w:rsidR="00E264E1" w:rsidRDefault="00E264E1">
      <w:pPr>
        <w:autoSpaceDE/>
        <w:autoSpaceDN/>
        <w:adjustRightInd/>
        <w:spacing w:after="160" w:line="259" w:lineRule="auto"/>
        <w:rPr>
          <w:rFonts w:asciiTheme="minorHAnsi" w:hAnsiTheme="minorHAnsi" w:cstheme="minorHAnsi"/>
        </w:rPr>
      </w:pPr>
      <w:r>
        <w:rPr>
          <w:rFonts w:asciiTheme="minorHAnsi" w:hAnsiTheme="minorHAnsi" w:cstheme="minorHAnsi"/>
        </w:rPr>
        <w:br w:type="page"/>
      </w:r>
    </w:p>
    <w:p w14:paraId="75155556" w14:textId="77777777" w:rsidR="00944DDC" w:rsidRPr="001A189B" w:rsidRDefault="00944DDC" w:rsidP="00944DDC">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4106"/>
        <w:gridCol w:w="1985"/>
        <w:gridCol w:w="2969"/>
      </w:tblGrid>
      <w:tr w:rsidR="00944DDC" w:rsidRPr="001A189B" w14:paraId="42FE1CED" w14:textId="77777777" w:rsidTr="00930541">
        <w:trPr>
          <w:trHeight w:val="357"/>
        </w:trPr>
        <w:tc>
          <w:tcPr>
            <w:tcW w:w="4106" w:type="dxa"/>
            <w:shd w:val="clear" w:color="auto" w:fill="D9D9D9" w:themeFill="background1" w:themeFillShade="D9"/>
            <w:vAlign w:val="center"/>
          </w:tcPr>
          <w:p w14:paraId="2FF77F6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Document</w:t>
            </w:r>
          </w:p>
        </w:tc>
        <w:tc>
          <w:tcPr>
            <w:tcW w:w="1985" w:type="dxa"/>
            <w:shd w:val="clear" w:color="auto" w:fill="D9D9D9" w:themeFill="background1" w:themeFillShade="D9"/>
            <w:vAlign w:val="center"/>
          </w:tcPr>
          <w:p w14:paraId="44DF4718"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Retention period</w:t>
            </w:r>
          </w:p>
        </w:tc>
        <w:tc>
          <w:tcPr>
            <w:tcW w:w="2969" w:type="dxa"/>
            <w:shd w:val="clear" w:color="auto" w:fill="D9D9D9" w:themeFill="background1" w:themeFillShade="D9"/>
            <w:vAlign w:val="center"/>
          </w:tcPr>
          <w:p w14:paraId="44B731CB"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Reason for retention period</w:t>
            </w:r>
          </w:p>
        </w:tc>
      </w:tr>
      <w:tr w:rsidR="00944DDC" w:rsidRPr="001A189B" w14:paraId="40E8F78F" w14:textId="77777777" w:rsidTr="00587610">
        <w:trPr>
          <w:trHeight w:val="357"/>
        </w:trPr>
        <w:tc>
          <w:tcPr>
            <w:tcW w:w="9060" w:type="dxa"/>
            <w:gridSpan w:val="3"/>
            <w:vAlign w:val="center"/>
          </w:tcPr>
          <w:p w14:paraId="29A88452" w14:textId="77777777" w:rsidR="00944DDC" w:rsidRPr="001A189B" w:rsidRDefault="00944DDC" w:rsidP="00587610">
            <w:pPr>
              <w:pStyle w:val="Default"/>
              <w:rPr>
                <w:rFonts w:asciiTheme="minorHAnsi" w:hAnsiTheme="minorHAnsi" w:cstheme="minorHAnsi"/>
                <w:b/>
                <w:sz w:val="22"/>
              </w:rPr>
            </w:pPr>
            <w:r w:rsidRPr="00930541">
              <w:rPr>
                <w:rStyle w:val="Heading1Char"/>
                <w:rFonts w:asciiTheme="minorHAnsi" w:hAnsiTheme="minorHAnsi" w:cstheme="minorHAnsi"/>
                <w:color w:val="116DB6"/>
                <w:sz w:val="24"/>
                <w:szCs w:val="22"/>
                <w:u w:val="none"/>
              </w:rPr>
              <w:t>Employee/personnel records</w:t>
            </w:r>
            <w:r w:rsidRPr="00930541">
              <w:rPr>
                <w:rFonts w:asciiTheme="minorHAnsi" w:hAnsiTheme="minorHAnsi" w:cstheme="minorHAnsi"/>
                <w:b/>
                <w:color w:val="116DB6"/>
                <w:sz w:val="20"/>
                <w:szCs w:val="22"/>
              </w:rPr>
              <w:t xml:space="preserve"> </w:t>
            </w:r>
            <w:r w:rsidRPr="001A189B">
              <w:rPr>
                <w:rFonts w:asciiTheme="minorHAnsi" w:hAnsiTheme="minorHAnsi" w:cstheme="minorHAnsi"/>
                <w:sz w:val="22"/>
              </w:rPr>
              <w:t>(continued)</w:t>
            </w:r>
          </w:p>
        </w:tc>
      </w:tr>
      <w:tr w:rsidR="00944DDC" w:rsidRPr="001A189B" w14:paraId="2EDA4E36" w14:textId="77777777" w:rsidTr="00587610">
        <w:trPr>
          <w:trHeight w:val="357"/>
        </w:trPr>
        <w:tc>
          <w:tcPr>
            <w:tcW w:w="4106" w:type="dxa"/>
            <w:vAlign w:val="center"/>
          </w:tcPr>
          <w:p w14:paraId="446E0483"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National minimum wage records</w:t>
            </w:r>
          </w:p>
        </w:tc>
        <w:tc>
          <w:tcPr>
            <w:tcW w:w="1985" w:type="dxa"/>
            <w:vAlign w:val="center"/>
          </w:tcPr>
          <w:p w14:paraId="4BAFEE14"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Three years after the end of the pay reference period following the one that the records cover</w:t>
            </w:r>
          </w:p>
        </w:tc>
        <w:tc>
          <w:tcPr>
            <w:tcW w:w="2969" w:type="dxa"/>
            <w:vAlign w:val="center"/>
          </w:tcPr>
          <w:p w14:paraId="374D62F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National Minimum Wage Act</w:t>
            </w:r>
          </w:p>
        </w:tc>
      </w:tr>
      <w:tr w:rsidR="00944DDC" w:rsidRPr="001A189B" w14:paraId="31BCE4DD" w14:textId="77777777" w:rsidTr="00587610">
        <w:trPr>
          <w:trHeight w:val="357"/>
        </w:trPr>
        <w:tc>
          <w:tcPr>
            <w:tcW w:w="9060" w:type="dxa"/>
            <w:gridSpan w:val="3"/>
            <w:vAlign w:val="center"/>
          </w:tcPr>
          <w:p w14:paraId="07F7351A" w14:textId="77777777" w:rsidR="00944DDC" w:rsidRPr="00930541" w:rsidRDefault="00944DDC" w:rsidP="00587610">
            <w:pPr>
              <w:pStyle w:val="Heading1"/>
              <w:outlineLvl w:val="0"/>
              <w:rPr>
                <w:rFonts w:asciiTheme="minorHAnsi" w:hAnsiTheme="minorHAnsi" w:cstheme="minorHAnsi"/>
                <w:u w:val="none"/>
              </w:rPr>
            </w:pPr>
            <w:r w:rsidRPr="00930541">
              <w:rPr>
                <w:rFonts w:asciiTheme="minorHAnsi" w:hAnsiTheme="minorHAnsi" w:cstheme="minorHAnsi"/>
                <w:color w:val="116DB6"/>
                <w:sz w:val="24"/>
                <w:szCs w:val="22"/>
                <w:u w:val="none"/>
              </w:rPr>
              <w:t>Insurance documents</w:t>
            </w:r>
          </w:p>
        </w:tc>
      </w:tr>
      <w:tr w:rsidR="00944DDC" w:rsidRPr="001A189B" w14:paraId="526B003E" w14:textId="77777777" w:rsidTr="00587610">
        <w:trPr>
          <w:trHeight w:val="357"/>
        </w:trPr>
        <w:tc>
          <w:tcPr>
            <w:tcW w:w="4106" w:type="dxa"/>
            <w:vAlign w:val="center"/>
          </w:tcPr>
          <w:p w14:paraId="36A4B187"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Policies</w:t>
            </w:r>
          </w:p>
        </w:tc>
        <w:tc>
          <w:tcPr>
            <w:tcW w:w="1985" w:type="dxa"/>
            <w:vAlign w:val="center"/>
          </w:tcPr>
          <w:p w14:paraId="673B4735"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Three years after lapse</w:t>
            </w:r>
          </w:p>
        </w:tc>
        <w:tc>
          <w:tcPr>
            <w:tcW w:w="2969" w:type="dxa"/>
            <w:vMerge w:val="restart"/>
            <w:vAlign w:val="center"/>
          </w:tcPr>
          <w:p w14:paraId="68279AD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tc>
      </w:tr>
      <w:tr w:rsidR="00944DDC" w:rsidRPr="001A189B" w14:paraId="49B8E046" w14:textId="77777777" w:rsidTr="00587610">
        <w:trPr>
          <w:trHeight w:val="357"/>
        </w:trPr>
        <w:tc>
          <w:tcPr>
            <w:tcW w:w="4106" w:type="dxa"/>
            <w:vAlign w:val="center"/>
          </w:tcPr>
          <w:p w14:paraId="6DF52CD4"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Claims correspondence</w:t>
            </w:r>
          </w:p>
        </w:tc>
        <w:tc>
          <w:tcPr>
            <w:tcW w:w="1985" w:type="dxa"/>
            <w:vAlign w:val="center"/>
          </w:tcPr>
          <w:p w14:paraId="71C5A6D7"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Three years after settlement</w:t>
            </w:r>
          </w:p>
        </w:tc>
        <w:tc>
          <w:tcPr>
            <w:tcW w:w="2969" w:type="dxa"/>
            <w:vMerge/>
            <w:vAlign w:val="center"/>
          </w:tcPr>
          <w:p w14:paraId="469E809D" w14:textId="77777777" w:rsidR="00944DDC" w:rsidRPr="001A189B" w:rsidRDefault="00944DDC" w:rsidP="00587610">
            <w:pPr>
              <w:pStyle w:val="Default"/>
              <w:rPr>
                <w:rFonts w:asciiTheme="minorHAnsi" w:hAnsiTheme="minorHAnsi" w:cstheme="minorHAnsi"/>
                <w:sz w:val="22"/>
              </w:rPr>
            </w:pPr>
          </w:p>
        </w:tc>
      </w:tr>
      <w:tr w:rsidR="00944DDC" w:rsidRPr="001A189B" w14:paraId="09B74AA0" w14:textId="77777777" w:rsidTr="00587610">
        <w:trPr>
          <w:trHeight w:val="357"/>
        </w:trPr>
        <w:tc>
          <w:tcPr>
            <w:tcW w:w="4106" w:type="dxa"/>
            <w:vAlign w:val="center"/>
          </w:tcPr>
          <w:p w14:paraId="5480C415"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Employers’ Liability insurance certificate</w:t>
            </w:r>
          </w:p>
        </w:tc>
        <w:tc>
          <w:tcPr>
            <w:tcW w:w="1985" w:type="dxa"/>
            <w:vAlign w:val="center"/>
          </w:tcPr>
          <w:p w14:paraId="6AEF2D9F"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40 years</w:t>
            </w:r>
          </w:p>
        </w:tc>
        <w:tc>
          <w:tcPr>
            <w:tcW w:w="2969" w:type="dxa"/>
            <w:vAlign w:val="center"/>
          </w:tcPr>
          <w:p w14:paraId="74B61E5A"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Employers’ Liability (Compulsory Insurance) Regulations</w:t>
            </w:r>
          </w:p>
        </w:tc>
      </w:tr>
      <w:tr w:rsidR="00944DDC" w:rsidRPr="001A189B" w14:paraId="5752531E" w14:textId="77777777" w:rsidTr="00587610">
        <w:trPr>
          <w:trHeight w:val="357"/>
        </w:trPr>
        <w:tc>
          <w:tcPr>
            <w:tcW w:w="4106" w:type="dxa"/>
            <w:vAlign w:val="center"/>
          </w:tcPr>
          <w:p w14:paraId="57B68D34"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Accident reports and relevant correspondence</w:t>
            </w:r>
          </w:p>
        </w:tc>
        <w:tc>
          <w:tcPr>
            <w:tcW w:w="1985" w:type="dxa"/>
            <w:vAlign w:val="center"/>
          </w:tcPr>
          <w:p w14:paraId="1153DCC2"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Three years after settlement</w:t>
            </w:r>
          </w:p>
        </w:tc>
        <w:tc>
          <w:tcPr>
            <w:tcW w:w="2969" w:type="dxa"/>
            <w:vAlign w:val="center"/>
          </w:tcPr>
          <w:p w14:paraId="5948C249"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tc>
      </w:tr>
      <w:tr w:rsidR="00944DDC" w:rsidRPr="001A189B" w14:paraId="4AB7A192" w14:textId="77777777" w:rsidTr="00587610">
        <w:trPr>
          <w:trHeight w:val="357"/>
        </w:trPr>
        <w:tc>
          <w:tcPr>
            <w:tcW w:w="9060" w:type="dxa"/>
            <w:gridSpan w:val="3"/>
            <w:vAlign w:val="center"/>
          </w:tcPr>
          <w:p w14:paraId="0C4B959F" w14:textId="77777777" w:rsidR="00944DDC" w:rsidRPr="00930541" w:rsidRDefault="00944DDC" w:rsidP="00587610">
            <w:pPr>
              <w:pStyle w:val="Heading1"/>
              <w:outlineLvl w:val="0"/>
              <w:rPr>
                <w:rFonts w:asciiTheme="minorHAnsi" w:hAnsiTheme="minorHAnsi" w:cstheme="minorHAnsi"/>
                <w:u w:val="none"/>
              </w:rPr>
            </w:pPr>
            <w:r w:rsidRPr="00930541">
              <w:rPr>
                <w:rFonts w:asciiTheme="minorHAnsi" w:hAnsiTheme="minorHAnsi" w:cstheme="minorHAnsi"/>
                <w:color w:val="116DB6"/>
                <w:sz w:val="24"/>
                <w:szCs w:val="22"/>
                <w:u w:val="none"/>
              </w:rPr>
              <w:t>Other documents</w:t>
            </w:r>
          </w:p>
        </w:tc>
      </w:tr>
      <w:tr w:rsidR="00944DDC" w:rsidRPr="001A189B" w14:paraId="174AB71B" w14:textId="77777777" w:rsidTr="00587610">
        <w:trPr>
          <w:trHeight w:val="357"/>
        </w:trPr>
        <w:tc>
          <w:tcPr>
            <w:tcW w:w="4106" w:type="dxa"/>
            <w:vAlign w:val="center"/>
          </w:tcPr>
          <w:p w14:paraId="01BE2959"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Trustee minutes of meetings and decisions made as resolutions in writing</w:t>
            </w:r>
          </w:p>
        </w:tc>
        <w:tc>
          <w:tcPr>
            <w:tcW w:w="1985" w:type="dxa"/>
            <w:vAlign w:val="center"/>
          </w:tcPr>
          <w:p w14:paraId="7744DD7F"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Minimum 10 years from the date of the meeting or from the date of passing a resolution in writing</w:t>
            </w:r>
          </w:p>
        </w:tc>
        <w:tc>
          <w:tcPr>
            <w:tcW w:w="2969" w:type="dxa"/>
            <w:vAlign w:val="center"/>
          </w:tcPr>
          <w:p w14:paraId="27F24AC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p w14:paraId="152A6AAA"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w:t>
            </w:r>
          </w:p>
        </w:tc>
      </w:tr>
      <w:tr w:rsidR="00944DDC" w:rsidRPr="001A189B" w14:paraId="0E46D86E" w14:textId="77777777" w:rsidTr="00587610">
        <w:trPr>
          <w:trHeight w:val="357"/>
        </w:trPr>
        <w:tc>
          <w:tcPr>
            <w:tcW w:w="4106" w:type="dxa"/>
            <w:vAlign w:val="center"/>
          </w:tcPr>
          <w:p w14:paraId="285F34E4"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Minutes of general meetings and members’ resolutions passed other than at a general meeting</w:t>
            </w:r>
          </w:p>
        </w:tc>
        <w:tc>
          <w:tcPr>
            <w:tcW w:w="1985" w:type="dxa"/>
            <w:vAlign w:val="center"/>
          </w:tcPr>
          <w:p w14:paraId="677CDD80"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Minimum 10 years after the date of the meeting/resolution/decision</w:t>
            </w:r>
          </w:p>
        </w:tc>
        <w:tc>
          <w:tcPr>
            <w:tcW w:w="2969" w:type="dxa"/>
            <w:vAlign w:val="center"/>
          </w:tcPr>
          <w:p w14:paraId="3C4A6D10"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w:t>
            </w:r>
          </w:p>
        </w:tc>
      </w:tr>
      <w:tr w:rsidR="00944DDC" w:rsidRPr="001A189B" w14:paraId="45D3DA01" w14:textId="77777777" w:rsidTr="00587610">
        <w:trPr>
          <w:trHeight w:val="357"/>
        </w:trPr>
        <w:tc>
          <w:tcPr>
            <w:tcW w:w="4106" w:type="dxa"/>
            <w:vAlign w:val="center"/>
          </w:tcPr>
          <w:p w14:paraId="4EE9B0BA"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Annual accounts and annual review</w:t>
            </w:r>
          </w:p>
        </w:tc>
        <w:tc>
          <w:tcPr>
            <w:tcW w:w="1985" w:type="dxa"/>
            <w:vMerge w:val="restart"/>
            <w:vAlign w:val="center"/>
          </w:tcPr>
          <w:p w14:paraId="762DB552"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Permanently</w:t>
            </w:r>
          </w:p>
        </w:tc>
        <w:tc>
          <w:tcPr>
            <w:tcW w:w="2969" w:type="dxa"/>
            <w:vMerge w:val="restart"/>
            <w:vAlign w:val="center"/>
          </w:tcPr>
          <w:p w14:paraId="5291FE41"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General Data Protection Regulation 2018</w:t>
            </w:r>
          </w:p>
        </w:tc>
      </w:tr>
      <w:tr w:rsidR="00944DDC" w:rsidRPr="001A189B" w14:paraId="7801F34B" w14:textId="77777777" w:rsidTr="00587610">
        <w:trPr>
          <w:trHeight w:val="357"/>
        </w:trPr>
        <w:tc>
          <w:tcPr>
            <w:tcW w:w="4106" w:type="dxa"/>
            <w:vAlign w:val="center"/>
          </w:tcPr>
          <w:p w14:paraId="6B5F42C2"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Major agreements of historical significance</w:t>
            </w:r>
          </w:p>
        </w:tc>
        <w:tc>
          <w:tcPr>
            <w:tcW w:w="1985" w:type="dxa"/>
            <w:vMerge/>
            <w:vAlign w:val="center"/>
          </w:tcPr>
          <w:p w14:paraId="409109FB" w14:textId="77777777" w:rsidR="00944DDC" w:rsidRPr="001A189B" w:rsidRDefault="00944DDC" w:rsidP="00587610">
            <w:pPr>
              <w:pStyle w:val="Default"/>
              <w:rPr>
                <w:rFonts w:asciiTheme="minorHAnsi" w:hAnsiTheme="minorHAnsi" w:cstheme="minorHAnsi"/>
                <w:sz w:val="20"/>
              </w:rPr>
            </w:pPr>
          </w:p>
        </w:tc>
        <w:tc>
          <w:tcPr>
            <w:tcW w:w="2969" w:type="dxa"/>
            <w:vMerge/>
            <w:vAlign w:val="center"/>
          </w:tcPr>
          <w:p w14:paraId="1738C59E" w14:textId="77777777" w:rsidR="00944DDC" w:rsidRPr="001A189B" w:rsidRDefault="00944DDC" w:rsidP="00587610">
            <w:pPr>
              <w:pStyle w:val="Default"/>
              <w:rPr>
                <w:rFonts w:asciiTheme="minorHAnsi" w:hAnsiTheme="minorHAnsi" w:cstheme="minorHAnsi"/>
                <w:sz w:val="22"/>
              </w:rPr>
            </w:pPr>
          </w:p>
        </w:tc>
      </w:tr>
      <w:tr w:rsidR="00944DDC" w:rsidRPr="001A189B" w14:paraId="7A752C58" w14:textId="77777777" w:rsidTr="00587610">
        <w:trPr>
          <w:trHeight w:val="357"/>
        </w:trPr>
        <w:tc>
          <w:tcPr>
            <w:tcW w:w="4106" w:type="dxa"/>
            <w:vAlign w:val="center"/>
          </w:tcPr>
          <w:p w14:paraId="7DDF8D9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Investment certificates</w:t>
            </w:r>
          </w:p>
        </w:tc>
        <w:tc>
          <w:tcPr>
            <w:tcW w:w="1985" w:type="dxa"/>
            <w:vMerge w:val="restart"/>
            <w:vAlign w:val="center"/>
          </w:tcPr>
          <w:p w14:paraId="0447B1C0"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Permanently</w:t>
            </w:r>
          </w:p>
        </w:tc>
        <w:tc>
          <w:tcPr>
            <w:tcW w:w="2969" w:type="dxa"/>
            <w:vMerge w:val="restart"/>
            <w:vAlign w:val="center"/>
          </w:tcPr>
          <w:p w14:paraId="4D7AC8C6"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Charities Act</w:t>
            </w:r>
          </w:p>
        </w:tc>
      </w:tr>
      <w:tr w:rsidR="00944DDC" w:rsidRPr="001A189B" w14:paraId="42E23D48" w14:textId="77777777" w:rsidTr="00587610">
        <w:trPr>
          <w:trHeight w:val="357"/>
        </w:trPr>
        <w:tc>
          <w:tcPr>
            <w:tcW w:w="4106" w:type="dxa"/>
            <w:vAlign w:val="center"/>
          </w:tcPr>
          <w:p w14:paraId="7C3312B1"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Investment ledger</w:t>
            </w:r>
          </w:p>
        </w:tc>
        <w:tc>
          <w:tcPr>
            <w:tcW w:w="1985" w:type="dxa"/>
            <w:vMerge/>
            <w:vAlign w:val="center"/>
          </w:tcPr>
          <w:p w14:paraId="4E6111B4" w14:textId="77777777" w:rsidR="00944DDC" w:rsidRPr="001A189B" w:rsidRDefault="00944DDC" w:rsidP="00587610">
            <w:pPr>
              <w:pStyle w:val="Default"/>
              <w:rPr>
                <w:rFonts w:asciiTheme="minorHAnsi" w:hAnsiTheme="minorHAnsi" w:cstheme="minorHAnsi"/>
                <w:sz w:val="20"/>
              </w:rPr>
            </w:pPr>
          </w:p>
        </w:tc>
        <w:tc>
          <w:tcPr>
            <w:tcW w:w="2969" w:type="dxa"/>
            <w:vMerge/>
            <w:vAlign w:val="center"/>
          </w:tcPr>
          <w:p w14:paraId="7CF0F48A" w14:textId="77777777" w:rsidR="00944DDC" w:rsidRPr="001A189B" w:rsidRDefault="00944DDC" w:rsidP="00587610">
            <w:pPr>
              <w:pStyle w:val="Default"/>
              <w:rPr>
                <w:rFonts w:asciiTheme="minorHAnsi" w:hAnsiTheme="minorHAnsi" w:cstheme="minorHAnsi"/>
                <w:sz w:val="22"/>
              </w:rPr>
            </w:pPr>
          </w:p>
        </w:tc>
      </w:tr>
      <w:tr w:rsidR="00944DDC" w:rsidRPr="001A189B" w14:paraId="3B5C73EF" w14:textId="77777777" w:rsidTr="00587610">
        <w:trPr>
          <w:trHeight w:val="357"/>
        </w:trPr>
        <w:tc>
          <w:tcPr>
            <w:tcW w:w="4106" w:type="dxa"/>
            <w:vAlign w:val="center"/>
          </w:tcPr>
          <w:p w14:paraId="7C55C367"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Health &amp; safety records</w:t>
            </w:r>
          </w:p>
        </w:tc>
        <w:tc>
          <w:tcPr>
            <w:tcW w:w="1985" w:type="dxa"/>
            <w:vAlign w:val="center"/>
          </w:tcPr>
          <w:p w14:paraId="013634DE"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Three years for general records.</w:t>
            </w:r>
          </w:p>
          <w:p w14:paraId="1796D23D"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40 years if an event occurs that leads to an insurance claim (or foreseeably could)</w:t>
            </w:r>
          </w:p>
        </w:tc>
        <w:tc>
          <w:tcPr>
            <w:tcW w:w="2969" w:type="dxa"/>
            <w:vAlign w:val="center"/>
          </w:tcPr>
          <w:p w14:paraId="100C1A5F"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Personal injury actions must general be commenced within three years of injury.</w:t>
            </w:r>
          </w:p>
        </w:tc>
      </w:tr>
      <w:tr w:rsidR="00944DDC" w:rsidRPr="001A189B" w14:paraId="34A3612E" w14:textId="77777777" w:rsidTr="00587610">
        <w:trPr>
          <w:trHeight w:val="357"/>
        </w:trPr>
        <w:tc>
          <w:tcPr>
            <w:tcW w:w="4106" w:type="dxa"/>
            <w:vAlign w:val="center"/>
          </w:tcPr>
          <w:p w14:paraId="64D8699B"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Contact with customers, suppliers or agents, licensing agreements, rental/hire purchase agreements, indemnities and guarantees and other agreements of contracts</w:t>
            </w:r>
          </w:p>
        </w:tc>
        <w:tc>
          <w:tcPr>
            <w:tcW w:w="1985" w:type="dxa"/>
            <w:vAlign w:val="center"/>
          </w:tcPr>
          <w:p w14:paraId="5D58564B" w14:textId="77777777" w:rsidR="00944DDC" w:rsidRPr="001A189B" w:rsidRDefault="00944DDC" w:rsidP="00587610">
            <w:pPr>
              <w:pStyle w:val="Default"/>
              <w:rPr>
                <w:rFonts w:asciiTheme="minorHAnsi" w:hAnsiTheme="minorHAnsi" w:cstheme="minorHAnsi"/>
                <w:sz w:val="20"/>
              </w:rPr>
            </w:pPr>
            <w:r w:rsidRPr="001A189B">
              <w:rPr>
                <w:rFonts w:asciiTheme="minorHAnsi" w:hAnsiTheme="minorHAnsi" w:cstheme="minorHAnsi"/>
                <w:sz w:val="20"/>
              </w:rPr>
              <w:t>Six years after expiry or termination of the contract. If the contract is executed as a deed, the limitation period is 12 years.</w:t>
            </w:r>
          </w:p>
        </w:tc>
        <w:tc>
          <w:tcPr>
            <w:tcW w:w="2969" w:type="dxa"/>
            <w:vAlign w:val="center"/>
          </w:tcPr>
          <w:p w14:paraId="20F3662C" w14:textId="77777777" w:rsidR="00944DDC" w:rsidRPr="001A189B" w:rsidRDefault="00944DDC" w:rsidP="00587610">
            <w:pPr>
              <w:pStyle w:val="Default"/>
              <w:rPr>
                <w:rFonts w:asciiTheme="minorHAnsi" w:hAnsiTheme="minorHAnsi" w:cstheme="minorHAnsi"/>
                <w:sz w:val="22"/>
              </w:rPr>
            </w:pPr>
            <w:r w:rsidRPr="001A189B">
              <w:rPr>
                <w:rFonts w:asciiTheme="minorHAnsi" w:hAnsiTheme="minorHAnsi" w:cstheme="minorHAnsi"/>
                <w:sz w:val="22"/>
              </w:rPr>
              <w:t>Limitations Act</w:t>
            </w:r>
          </w:p>
        </w:tc>
      </w:tr>
    </w:tbl>
    <w:p w14:paraId="3AC4E817" w14:textId="77777777" w:rsidR="009D0273" w:rsidRDefault="009D0273" w:rsidP="00944DDC">
      <w:pPr>
        <w:pStyle w:val="Heading2"/>
        <w:rPr>
          <w:rFonts w:asciiTheme="minorHAnsi" w:hAnsiTheme="minorHAnsi" w:cstheme="minorHAnsi"/>
        </w:rPr>
      </w:pPr>
    </w:p>
    <w:p w14:paraId="75108C04" w14:textId="77777777" w:rsidR="009D0273" w:rsidRDefault="009D0273">
      <w:pPr>
        <w:autoSpaceDE/>
        <w:autoSpaceDN/>
        <w:adjustRightInd/>
        <w:spacing w:after="160" w:line="259" w:lineRule="auto"/>
        <w:rPr>
          <w:rFonts w:asciiTheme="minorHAnsi" w:hAnsiTheme="minorHAnsi" w:cstheme="minorHAnsi"/>
          <w:b/>
          <w:sz w:val="24"/>
        </w:rPr>
      </w:pPr>
      <w:r>
        <w:rPr>
          <w:rFonts w:asciiTheme="minorHAnsi" w:hAnsiTheme="minorHAnsi" w:cstheme="minorHAnsi"/>
        </w:rPr>
        <w:br w:type="page"/>
      </w:r>
    </w:p>
    <w:p w14:paraId="7725790A" w14:textId="2F08862F" w:rsidR="00944DDC" w:rsidRPr="009D0273" w:rsidRDefault="00944DDC" w:rsidP="00944DDC">
      <w:pPr>
        <w:pStyle w:val="Heading2"/>
        <w:rPr>
          <w:rFonts w:asciiTheme="minorHAnsi" w:hAnsiTheme="minorHAnsi" w:cstheme="minorHAnsi"/>
          <w:color w:val="116DB6"/>
          <w:sz w:val="28"/>
          <w:szCs w:val="28"/>
        </w:rPr>
      </w:pPr>
      <w:r w:rsidRPr="009D0273">
        <w:rPr>
          <w:rFonts w:asciiTheme="minorHAnsi" w:hAnsiTheme="minorHAnsi" w:cstheme="minorHAnsi"/>
          <w:color w:val="116DB6"/>
          <w:sz w:val="28"/>
          <w:szCs w:val="28"/>
        </w:rPr>
        <w:lastRenderedPageBreak/>
        <w:t>Archives</w:t>
      </w:r>
    </w:p>
    <w:p w14:paraId="73A15A9B" w14:textId="77777777" w:rsidR="00944DDC" w:rsidRPr="001A189B" w:rsidRDefault="00944DDC" w:rsidP="00944DDC">
      <w:pPr>
        <w:rPr>
          <w:rFonts w:asciiTheme="minorHAnsi" w:hAnsiTheme="minorHAnsi" w:cstheme="minorHAnsi"/>
        </w:rPr>
      </w:pPr>
    </w:p>
    <w:p w14:paraId="101DF4C2" w14:textId="16D87895" w:rsidR="00944DDC" w:rsidRPr="001A189B" w:rsidRDefault="00944DDC" w:rsidP="00944DDC">
      <w:pPr>
        <w:rPr>
          <w:rFonts w:asciiTheme="minorHAnsi" w:hAnsiTheme="minorHAnsi" w:cstheme="minorHAnsi"/>
        </w:rPr>
      </w:pPr>
      <w:r w:rsidRPr="001A189B">
        <w:rPr>
          <w:rFonts w:asciiTheme="minorHAnsi" w:hAnsiTheme="minorHAnsi" w:cstheme="minorHAnsi"/>
        </w:rPr>
        <w:t>Although there are no legal retention requirements, documents, such as newsletters or magazines, photographs, orders of service, items of memorabilia etc can form a valuable record of social history and consideration should be given to the creation and maintenance of a Mothers’ Union archive in the diocese.</w:t>
      </w:r>
      <w:r w:rsidR="009D0273">
        <w:rPr>
          <w:rFonts w:asciiTheme="minorHAnsi" w:hAnsiTheme="minorHAnsi" w:cstheme="minorHAnsi"/>
        </w:rPr>
        <w:t xml:space="preserve"> </w:t>
      </w:r>
    </w:p>
    <w:p w14:paraId="759D1763" w14:textId="7CE041C8" w:rsidR="00075CE5" w:rsidRPr="001A189B" w:rsidRDefault="00075CE5" w:rsidP="0004187E">
      <w:pPr>
        <w:rPr>
          <w:rFonts w:asciiTheme="minorHAnsi" w:hAnsiTheme="minorHAnsi" w:cstheme="minorHAnsi"/>
        </w:rPr>
      </w:pPr>
    </w:p>
    <w:p w14:paraId="7CA5AF5B" w14:textId="72D3511F" w:rsidR="00C10D57" w:rsidRPr="001A189B" w:rsidRDefault="00C10D57" w:rsidP="00712F6B">
      <w:pPr>
        <w:rPr>
          <w:rFonts w:asciiTheme="minorHAnsi" w:hAnsiTheme="minorHAnsi" w:cstheme="minorHAnsi"/>
        </w:rPr>
      </w:pPr>
    </w:p>
    <w:p w14:paraId="20E23DC5" w14:textId="77777777" w:rsidR="00A11A00" w:rsidRPr="001A189B" w:rsidRDefault="00A11A00">
      <w:pPr>
        <w:rPr>
          <w:rFonts w:asciiTheme="minorHAnsi" w:hAnsiTheme="minorHAnsi" w:cstheme="minorHAnsi"/>
        </w:rPr>
      </w:pPr>
    </w:p>
    <w:sectPr w:rsidR="00A11A00" w:rsidRPr="001A189B" w:rsidSect="000B52F6">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AC3F" w14:textId="77777777" w:rsidR="00AB36C6" w:rsidRDefault="00AB36C6" w:rsidP="00712F6B">
      <w:r>
        <w:separator/>
      </w:r>
    </w:p>
  </w:endnote>
  <w:endnote w:type="continuationSeparator" w:id="0">
    <w:p w14:paraId="61383BC0" w14:textId="77777777" w:rsidR="00AB36C6" w:rsidRDefault="00AB36C6"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1D6F34E1" w:rsidR="00343277" w:rsidRPr="00343277" w:rsidRDefault="00EC750F" w:rsidP="00712F6B">
    <w:pPr>
      <w:pStyle w:val="Footer"/>
      <w:rPr>
        <w:rFonts w:asciiTheme="minorHAnsi" w:hAnsiTheme="minorHAnsi" w:cstheme="minorHAnsi"/>
      </w:rPr>
    </w:pPr>
    <w:r>
      <w:rPr>
        <w:rFonts w:asciiTheme="minorHAnsi" w:hAnsiTheme="minorHAnsi" w:cstheme="minorHAnsi"/>
      </w:rPr>
      <w:t>Retention of Records</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64ABA71A" w:rsidR="00C84E9C" w:rsidRPr="00343277" w:rsidRDefault="00343277" w:rsidP="00712F6B">
    <w:pPr>
      <w:pStyle w:val="Footer"/>
      <w:rPr>
        <w:rFonts w:asciiTheme="minorHAnsi" w:hAnsiTheme="minorHAnsi" w:cstheme="minorHAnsi"/>
      </w:rPr>
    </w:pPr>
    <w:r w:rsidRPr="00343277">
      <w:rPr>
        <w:rFonts w:asciiTheme="minorHAnsi" w:hAnsiTheme="minorHAnsi" w:cstheme="minorHAnsi"/>
      </w:rPr>
      <w:t xml:space="preserve">January </w:t>
    </w:r>
    <w:r w:rsidR="00EC750F">
      <w:rPr>
        <w:rFonts w:asciiTheme="minorHAnsi" w:hAnsiTheme="minorHAnsi" w:cstheme="minorHAnsi"/>
      </w:rPr>
      <w:t>2019</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936B" w14:textId="77777777" w:rsidR="00AB36C6" w:rsidRDefault="00AB36C6" w:rsidP="00712F6B">
      <w:r>
        <w:separator/>
      </w:r>
    </w:p>
  </w:footnote>
  <w:footnote w:type="continuationSeparator" w:id="0">
    <w:p w14:paraId="593CF9F5" w14:textId="77777777" w:rsidR="00AB36C6" w:rsidRDefault="00AB36C6"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64AD5"/>
    <w:multiLevelType w:val="hybridMultilevel"/>
    <w:tmpl w:val="10C6C476"/>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065D9"/>
    <w:multiLevelType w:val="hybridMultilevel"/>
    <w:tmpl w:val="F470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75CE5"/>
    <w:rsid w:val="000B0926"/>
    <w:rsid w:val="000B52F6"/>
    <w:rsid w:val="000D408D"/>
    <w:rsid w:val="001028E5"/>
    <w:rsid w:val="00102FEF"/>
    <w:rsid w:val="00154099"/>
    <w:rsid w:val="001A189B"/>
    <w:rsid w:val="001B433B"/>
    <w:rsid w:val="001C4F62"/>
    <w:rsid w:val="001D187F"/>
    <w:rsid w:val="001E0EF0"/>
    <w:rsid w:val="001F1A6F"/>
    <w:rsid w:val="0021627C"/>
    <w:rsid w:val="00222944"/>
    <w:rsid w:val="00285B4B"/>
    <w:rsid w:val="00343277"/>
    <w:rsid w:val="00370E48"/>
    <w:rsid w:val="003B3E30"/>
    <w:rsid w:val="00417E82"/>
    <w:rsid w:val="004348DF"/>
    <w:rsid w:val="00477D5E"/>
    <w:rsid w:val="004A6E7A"/>
    <w:rsid w:val="004B66D1"/>
    <w:rsid w:val="004B7883"/>
    <w:rsid w:val="004D55D5"/>
    <w:rsid w:val="00505471"/>
    <w:rsid w:val="005340FB"/>
    <w:rsid w:val="00565AA3"/>
    <w:rsid w:val="00595C92"/>
    <w:rsid w:val="005C704C"/>
    <w:rsid w:val="00607F6E"/>
    <w:rsid w:val="00637AA3"/>
    <w:rsid w:val="00686FD7"/>
    <w:rsid w:val="00696C66"/>
    <w:rsid w:val="00712F6B"/>
    <w:rsid w:val="0071723A"/>
    <w:rsid w:val="00797E9A"/>
    <w:rsid w:val="007B710C"/>
    <w:rsid w:val="008228B3"/>
    <w:rsid w:val="008238E2"/>
    <w:rsid w:val="008467E0"/>
    <w:rsid w:val="008D3557"/>
    <w:rsid w:val="00930541"/>
    <w:rsid w:val="00944DDC"/>
    <w:rsid w:val="009567E5"/>
    <w:rsid w:val="00987113"/>
    <w:rsid w:val="009A1DA6"/>
    <w:rsid w:val="009B4048"/>
    <w:rsid w:val="009D0273"/>
    <w:rsid w:val="009D0984"/>
    <w:rsid w:val="009D531F"/>
    <w:rsid w:val="009E2E99"/>
    <w:rsid w:val="00A11A00"/>
    <w:rsid w:val="00A1343E"/>
    <w:rsid w:val="00AA097D"/>
    <w:rsid w:val="00AB36C6"/>
    <w:rsid w:val="00AE3757"/>
    <w:rsid w:val="00B80583"/>
    <w:rsid w:val="00BA4D73"/>
    <w:rsid w:val="00BC4E8D"/>
    <w:rsid w:val="00BE04A1"/>
    <w:rsid w:val="00BF45A8"/>
    <w:rsid w:val="00BF4E13"/>
    <w:rsid w:val="00C10D57"/>
    <w:rsid w:val="00C4669D"/>
    <w:rsid w:val="00C4788F"/>
    <w:rsid w:val="00C84E9C"/>
    <w:rsid w:val="00CB3C5D"/>
    <w:rsid w:val="00CB7C1F"/>
    <w:rsid w:val="00D23685"/>
    <w:rsid w:val="00D71A69"/>
    <w:rsid w:val="00DD4A9D"/>
    <w:rsid w:val="00E264E1"/>
    <w:rsid w:val="00E53A54"/>
    <w:rsid w:val="00E71804"/>
    <w:rsid w:val="00E85BBF"/>
    <w:rsid w:val="00EA3172"/>
    <w:rsid w:val="00EC750F"/>
    <w:rsid w:val="00F04DA3"/>
    <w:rsid w:val="00F3669A"/>
    <w:rsid w:val="00F54291"/>
    <w:rsid w:val="00F5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34"/>
    <w:qFormat/>
    <w:rsid w:val="00075CE5"/>
    <w:pPr>
      <w:ind w:left="720"/>
      <w:contextualSpacing/>
    </w:pPr>
  </w:style>
  <w:style w:type="table" w:styleId="TableGrid">
    <w:name w:val="Table Grid"/>
    <w:basedOn w:val="TableNormal"/>
    <w:uiPriority w:val="39"/>
    <w:rsid w:val="0094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3.xml><?xml version="1.0" encoding="utf-8"?>
<ds:datastoreItem xmlns:ds="http://schemas.openxmlformats.org/officeDocument/2006/customXml" ds:itemID="{841C7C3D-D821-4240-BA94-49BCDB960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10</cp:revision>
  <cp:lastPrinted>2022-01-14T12:06:00Z</cp:lastPrinted>
  <dcterms:created xsi:type="dcterms:W3CDTF">2022-03-03T10:27:00Z</dcterms:created>
  <dcterms:modified xsi:type="dcterms:W3CDTF">2022-03-03T10:34:00Z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