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F0" w:rsidRDefault="0081579D" w:rsidP="000A75F0">
      <w:pPr>
        <w:pStyle w:val="ListParagraph"/>
        <w:spacing w:after="160" w:line="256" w:lineRule="auto"/>
        <w:ind w:left="0"/>
        <w:contextualSpacing/>
        <w:jc w:val="center"/>
        <w:rPr>
          <w:rFonts w:ascii="Georgia" w:hAnsi="Georgia"/>
          <w:b/>
          <w:color w:val="2E74B5"/>
          <w:sz w:val="28"/>
          <w:szCs w:val="28"/>
        </w:rPr>
      </w:pPr>
      <w:r>
        <w:rPr>
          <w:rFonts w:ascii="Georgia" w:hAnsi="Georgia"/>
          <w:b/>
          <w:noProof/>
          <w:color w:val="2E74B5"/>
          <w:sz w:val="28"/>
          <w:szCs w:val="28"/>
          <w:lang w:eastAsia="en-GB"/>
        </w:rPr>
        <w:drawing>
          <wp:inline distT="0" distB="0" distL="0" distR="0">
            <wp:extent cx="5731510" cy="152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 Days 2019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F0" w:rsidRDefault="000A75F0" w:rsidP="000A75F0">
      <w:pPr>
        <w:pStyle w:val="ListParagraph"/>
        <w:spacing w:after="160" w:line="256" w:lineRule="auto"/>
        <w:ind w:left="0"/>
        <w:contextualSpacing/>
        <w:jc w:val="center"/>
        <w:rPr>
          <w:rFonts w:ascii="Georgia" w:hAnsi="Georgia"/>
          <w:b/>
          <w:color w:val="2E74B5"/>
          <w:sz w:val="28"/>
          <w:szCs w:val="28"/>
        </w:rPr>
      </w:pPr>
    </w:p>
    <w:p w:rsidR="000A75F0" w:rsidRDefault="009A3F8E" w:rsidP="00AA7652">
      <w:pPr>
        <w:pStyle w:val="ListParagraph"/>
        <w:spacing w:after="160" w:line="276" w:lineRule="auto"/>
        <w:ind w:left="0"/>
        <w:contextualSpacing/>
        <w:jc w:val="center"/>
        <w:rPr>
          <w:rFonts w:ascii="Bodoni Hand" w:hAnsi="Bodoni Hand"/>
          <w:b/>
          <w:color w:val="2E74B5"/>
          <w:sz w:val="32"/>
          <w:szCs w:val="28"/>
        </w:rPr>
      </w:pPr>
      <w:r>
        <w:rPr>
          <w:rFonts w:ascii="Bodoni Hand" w:hAnsi="Bodoni Hand"/>
          <w:b/>
          <w:color w:val="2E74B5"/>
          <w:sz w:val="32"/>
          <w:szCs w:val="28"/>
        </w:rPr>
        <w:t xml:space="preserve">Advocacy Suggestions </w:t>
      </w:r>
      <w:proofErr w:type="gramStart"/>
      <w:r>
        <w:rPr>
          <w:rFonts w:ascii="Bodoni Hand" w:hAnsi="Bodoni Hand"/>
          <w:b/>
          <w:color w:val="2E74B5"/>
          <w:sz w:val="32"/>
          <w:szCs w:val="28"/>
        </w:rPr>
        <w:t>During</w:t>
      </w:r>
      <w:proofErr w:type="gramEnd"/>
      <w:r>
        <w:rPr>
          <w:rFonts w:ascii="Bodoni Hand" w:hAnsi="Bodoni Hand"/>
          <w:b/>
          <w:color w:val="2E74B5"/>
          <w:sz w:val="32"/>
          <w:szCs w:val="28"/>
        </w:rPr>
        <w:t xml:space="preserve"> 16 Days 2019</w:t>
      </w:r>
    </w:p>
    <w:p w:rsidR="007D3F94" w:rsidRPr="007D3F94" w:rsidRDefault="007D3F94" w:rsidP="007D3F94">
      <w:pPr>
        <w:pStyle w:val="ListParagraph"/>
        <w:spacing w:line="276" w:lineRule="auto"/>
        <w:ind w:left="0"/>
        <w:contextualSpacing/>
        <w:jc w:val="center"/>
        <w:rPr>
          <w:rFonts w:ascii="Bodoni Hand" w:hAnsi="Bodoni Hand"/>
          <w:b/>
          <w:color w:val="2E74B5"/>
          <w:sz w:val="28"/>
          <w:szCs w:val="28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5109"/>
        <w:gridCol w:w="5665"/>
      </w:tblGrid>
      <w:tr w:rsidR="007D3F94" w:rsidRPr="00745D88" w:rsidTr="007D3F94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7D3F94" w:rsidRPr="007D3F94" w:rsidRDefault="007D3F94" w:rsidP="00C7071F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7D3F9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DO’S IN RESPONDING TO </w:t>
            </w:r>
            <w:r w:rsidRPr="007D3F9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SURVIVORS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Find a safe place to talk. 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Fonts w:ascii="Verdana" w:hAnsi="Verdana"/>
                <w:color w:val="FFFFFF" w:themeColor="background1"/>
                <w:sz w:val="22"/>
                <w:szCs w:val="22"/>
              </w:rPr>
              <w:t>Have someone else present</w:t>
            </w:r>
            <w:r w:rsidR="00C7071F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 </w:t>
            </w:r>
            <w:r w:rsidRPr="007D3F94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- if this is acceptable to the woman. 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Allow time for the person to talk. 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Fonts w:ascii="Verdana" w:hAnsi="Verdana"/>
                <w:color w:val="FFFFFF" w:themeColor="background1"/>
                <w:sz w:val="22"/>
                <w:szCs w:val="22"/>
              </w:rPr>
              <w:t>Listen to what she has to say</w:t>
            </w:r>
            <w:r w:rsidR="00C7071F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 </w:t>
            </w:r>
            <w:r w:rsidRPr="007D3F94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- and take it seriously. 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Believe her; her description of the abuse is probably only the ‘tip of the iceberg’. 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Give priority to her immediate safety (and that of any children involved). 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Empower her to make her own decisions. 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Fonts w:ascii="Verdana" w:hAnsi="Verdana"/>
                <w:color w:val="FFFFFF" w:themeColor="background1"/>
                <w:sz w:val="22"/>
                <w:szCs w:val="22"/>
              </w:rPr>
              <w:t>Support and respect her choices. Even if she chooses t</w:t>
            </w:r>
            <w:r w:rsidR="00C7071F">
              <w:rPr>
                <w:rFonts w:ascii="Verdana" w:hAnsi="Verdana"/>
                <w:color w:val="FFFFFF" w:themeColor="background1"/>
                <w:sz w:val="22"/>
                <w:szCs w:val="22"/>
              </w:rPr>
              <w:t>o initially</w:t>
            </w:r>
            <w:r w:rsidRPr="007D3F94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 return to the abuser, it is her choice. She has the most information about how to</w:t>
            </w:r>
            <w:r w:rsidR="00C7071F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 survive. If there are children </w:t>
            </w:r>
            <w:r w:rsidRPr="007D3F94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involved, however, their safety must come first and this choice is often overruled. 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Style w:val="s1"/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color w:val="FFFFFF" w:themeColor="background1"/>
                <w:sz w:val="22"/>
                <w:szCs w:val="22"/>
              </w:rPr>
              <w:t>Give her information about relevant support agencies and, if appropriate offer to contact an agency on her behalf and do so in her presence, or offer a safe and private place from which she can contact the relevant agency. 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Style w:val="s1"/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color w:val="FFFFFF" w:themeColor="background1"/>
                <w:sz w:val="22"/>
                <w:szCs w:val="22"/>
              </w:rPr>
              <w:t>Use the expertise of those who are properly trained.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Style w:val="s1"/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color w:val="FFFFFF" w:themeColor="background1"/>
                <w:sz w:val="22"/>
                <w:szCs w:val="22"/>
              </w:rPr>
              <w:t>Reassure her that it’s not her fault, she doesn’t deserve this treatment, and it is not God’s will for her. 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Style w:val="s1"/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color w:val="FFFFFF" w:themeColor="background1"/>
                <w:sz w:val="22"/>
                <w:szCs w:val="22"/>
              </w:rPr>
              <w:t>Let her know that what the abuser has done is wrong and completely</w:t>
            </w:r>
            <w:r w:rsidRPr="007D3F94">
              <w:rPr>
                <w:rStyle w:val="s1"/>
                <w:rFonts w:ascii="Verdana" w:hAnsi="Verdana"/>
                <w:color w:val="FFFFFF" w:themeColor="background1"/>
                <w:sz w:val="22"/>
                <w:szCs w:val="22"/>
              </w:rPr>
              <w:t xml:space="preserve"> </w:t>
            </w:r>
            <w:r w:rsidRPr="007D3F94">
              <w:rPr>
                <w:rStyle w:val="s1"/>
                <w:rFonts w:ascii="Verdana" w:hAnsi="Verdana"/>
                <w:color w:val="FFFFFF" w:themeColor="background1"/>
                <w:sz w:val="22"/>
                <w:szCs w:val="22"/>
              </w:rPr>
              <w:t>unacceptable.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Style w:val="s1"/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color w:val="FFFFFF" w:themeColor="background1"/>
                <w:sz w:val="22"/>
                <w:szCs w:val="22"/>
              </w:rPr>
              <w:t xml:space="preserve">Be patient with her. 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color w:val="FFFFFF" w:themeColor="background1"/>
                <w:sz w:val="22"/>
                <w:szCs w:val="22"/>
              </w:rPr>
              <w:t>Protect her confidentiality. Keep any information in a secure place and consider coding the information. </w:t>
            </w:r>
          </w:p>
          <w:p w:rsidR="007D3F94" w:rsidRPr="007D3F94" w:rsidRDefault="007D3F94" w:rsidP="00C7071F">
            <w:pPr>
              <w:pStyle w:val="ListParagraph"/>
              <w:spacing w:line="276" w:lineRule="auto"/>
              <w:contextualSpacing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D3F94" w:rsidRDefault="007D3F94" w:rsidP="00C7071F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7D3F94">
              <w:rPr>
                <w:rFonts w:ascii="Verdana" w:hAnsi="Verdana"/>
                <w:b/>
                <w:sz w:val="22"/>
                <w:szCs w:val="22"/>
              </w:rPr>
              <w:t>DON’T</w:t>
            </w:r>
            <w:r>
              <w:rPr>
                <w:rFonts w:ascii="Verdana" w:hAnsi="Verdana"/>
                <w:b/>
                <w:sz w:val="22"/>
                <w:szCs w:val="22"/>
              </w:rPr>
              <w:t>’</w:t>
            </w:r>
            <w:r w:rsidRPr="007D3F94">
              <w:rPr>
                <w:rFonts w:ascii="Verdana" w:hAnsi="Verdana"/>
                <w:b/>
                <w:sz w:val="22"/>
                <w:szCs w:val="22"/>
              </w:rPr>
              <w:t>S IN RESPONDING TO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SURVIVORS</w:t>
            </w:r>
          </w:p>
          <w:p w:rsidR="007D3F94" w:rsidRPr="007D3F94" w:rsidRDefault="007D3F94" w:rsidP="00C707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>Don’t judge her or what she tells you.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before="0" w:before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>Refrain from making unrealistic promises.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 xml:space="preserve">Don’t suggest that she should ‘try again’; evidence shows that victims experience a number of violent incidents before seeking help. 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>Never minimise the severity of her experience or the danger she is in.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 xml:space="preserve">Don’t react with disbelief, disgust or anger at what she tells you or react passively. 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 xml:space="preserve">Don’t ask her why she did not act in a certain way. 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 xml:space="preserve">Never blame her for his violence. 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 xml:space="preserve">Never act on the person’s behalf without her consent and/or knowledge (unless children are involved). 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 xml:space="preserve">Don’t expect her to make decisions quickly. 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 xml:space="preserve">Never make decisions for her or tell her what to do. 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 xml:space="preserve">Don’t recommend couple </w:t>
            </w:r>
            <w:r w:rsidR="00C7071F">
              <w:rPr>
                <w:rStyle w:val="s1"/>
                <w:rFonts w:ascii="Verdana" w:hAnsi="Verdana"/>
                <w:sz w:val="22"/>
                <w:szCs w:val="22"/>
              </w:rPr>
              <w:t>counselling/family meditation/</w:t>
            </w: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>m</w:t>
            </w:r>
            <w:r w:rsidR="00C7071F">
              <w:rPr>
                <w:rStyle w:val="s1"/>
                <w:rFonts w:ascii="Verdana" w:hAnsi="Verdana"/>
                <w:sz w:val="22"/>
                <w:szCs w:val="22"/>
              </w:rPr>
              <w:t>arriage courses/</w:t>
            </w: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>healthy relationship courses. These will not help in domestic abuse situations.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 xml:space="preserve">Don’t encourage her to forgive him and take him back. </w:t>
            </w:r>
          </w:p>
          <w:p w:rsidR="00C7071F" w:rsidRDefault="007D3F94" w:rsidP="00950D42">
            <w:pPr>
              <w:pStyle w:val="p1"/>
              <w:numPr>
                <w:ilvl w:val="0"/>
                <w:numId w:val="10"/>
              </w:numPr>
              <w:spacing w:after="0" w:afterAutospacing="0"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r w:rsidRPr="00C7071F">
              <w:rPr>
                <w:rStyle w:val="s1"/>
                <w:rFonts w:ascii="Verdana" w:hAnsi="Verdana"/>
                <w:sz w:val="22"/>
                <w:szCs w:val="22"/>
              </w:rPr>
              <w:t xml:space="preserve">Don’t send her home with a prayer/directive to submit to her husband/bring him to church/be a better Christian wife. </w:t>
            </w:r>
          </w:p>
          <w:p w:rsidR="007D3F94" w:rsidRPr="00C7071F" w:rsidRDefault="007D3F94" w:rsidP="00950D42">
            <w:pPr>
              <w:pStyle w:val="p1"/>
              <w:numPr>
                <w:ilvl w:val="0"/>
                <w:numId w:val="10"/>
              </w:numPr>
              <w:spacing w:after="0" w:afterAutospacing="0"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 w:rsidRPr="00C7071F">
              <w:rPr>
                <w:rStyle w:val="s1"/>
                <w:rFonts w:ascii="Verdana" w:hAnsi="Verdana"/>
                <w:sz w:val="22"/>
                <w:szCs w:val="22"/>
              </w:rPr>
              <w:t xml:space="preserve">Refrain from contacting the person at home, unless she has agreed to this. 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 xml:space="preserve">Don’t approach her partner for his side of the story, as this will endanger her. 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>Don’t give information about her or her whereab</w:t>
            </w:r>
            <w:r>
              <w:rPr>
                <w:rStyle w:val="s1"/>
                <w:rFonts w:ascii="Verdana" w:hAnsi="Verdana"/>
                <w:sz w:val="22"/>
                <w:szCs w:val="22"/>
              </w:rPr>
              <w:t xml:space="preserve">outs to the abuser or to others </w:t>
            </w: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 xml:space="preserve">who might pass this information on to the abuser. 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line="276" w:lineRule="auto"/>
              <w:rPr>
                <w:rStyle w:val="s1"/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>Don’t discuss the situation with church l</w:t>
            </w:r>
            <w:r w:rsidR="00C7071F">
              <w:rPr>
                <w:rStyle w:val="s1"/>
                <w:rFonts w:ascii="Verdana" w:hAnsi="Verdana"/>
                <w:sz w:val="22"/>
                <w:szCs w:val="22"/>
              </w:rPr>
              <w:t>eaders who might inadvertently/</w:t>
            </w: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 xml:space="preserve">unintentionally pass information on to the abuser. </w:t>
            </w:r>
          </w:p>
          <w:p w:rsidR="007D3F94" w:rsidRPr="007D3F94" w:rsidRDefault="007D3F94" w:rsidP="00C7071F">
            <w:pPr>
              <w:pStyle w:val="p1"/>
              <w:numPr>
                <w:ilvl w:val="0"/>
                <w:numId w:val="10"/>
              </w:numPr>
              <w:spacing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7D3F94">
              <w:rPr>
                <w:rStyle w:val="s1"/>
                <w:rFonts w:ascii="Verdana" w:hAnsi="Verdana"/>
                <w:sz w:val="22"/>
                <w:szCs w:val="22"/>
              </w:rPr>
              <w:t>Don’t encourage her dependence on you or become emotionally involved with her; this can be problematic and make you seem to be the answer to her problems.</w:t>
            </w:r>
          </w:p>
        </w:tc>
      </w:tr>
    </w:tbl>
    <w:p w:rsidR="007D3F94" w:rsidRPr="00AA7652" w:rsidRDefault="007D3F94" w:rsidP="007D3F94">
      <w:pPr>
        <w:pStyle w:val="ListParagraph"/>
        <w:spacing w:after="160" w:line="276" w:lineRule="auto"/>
        <w:ind w:left="0"/>
        <w:contextualSpacing/>
        <w:rPr>
          <w:rFonts w:ascii="Bodoni Hand" w:hAnsi="Bodoni Hand"/>
          <w:b/>
          <w:color w:val="2E74B5"/>
          <w:sz w:val="32"/>
          <w:szCs w:val="28"/>
        </w:rPr>
      </w:pPr>
    </w:p>
    <w:sectPr w:rsidR="007D3F94" w:rsidRPr="00AA7652" w:rsidSect="0081579D">
      <w:headerReference w:type="default" r:id="rId8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9D" w:rsidRDefault="0081579D" w:rsidP="0081579D">
      <w:r>
        <w:separator/>
      </w:r>
    </w:p>
  </w:endnote>
  <w:endnote w:type="continuationSeparator" w:id="0">
    <w:p w:rsidR="0081579D" w:rsidRDefault="0081579D" w:rsidP="0081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9D" w:rsidRDefault="0081579D" w:rsidP="0081579D">
      <w:r>
        <w:separator/>
      </w:r>
    </w:p>
  </w:footnote>
  <w:footnote w:type="continuationSeparator" w:id="0">
    <w:p w:rsidR="0081579D" w:rsidRDefault="0081579D" w:rsidP="0081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9D" w:rsidRDefault="0081579D" w:rsidP="0081579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-231140</wp:posOffset>
          </wp:positionV>
          <wp:extent cx="2492375" cy="597535"/>
          <wp:effectExtent l="0" t="0" r="3175" b="0"/>
          <wp:wrapTight wrapText="bothSides">
            <wp:wrapPolygon edited="0">
              <wp:start x="0" y="0"/>
              <wp:lineTo x="0" y="20659"/>
              <wp:lineTo x="21462" y="20659"/>
              <wp:lineTo x="214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37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1DC"/>
    <w:multiLevelType w:val="hybridMultilevel"/>
    <w:tmpl w:val="B4164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62D6"/>
    <w:multiLevelType w:val="hybridMultilevel"/>
    <w:tmpl w:val="9B9A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B0E"/>
    <w:multiLevelType w:val="hybridMultilevel"/>
    <w:tmpl w:val="89AA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771B"/>
    <w:multiLevelType w:val="hybridMultilevel"/>
    <w:tmpl w:val="F7D0B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84F"/>
    <w:multiLevelType w:val="hybridMultilevel"/>
    <w:tmpl w:val="E200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C0576"/>
    <w:multiLevelType w:val="hybridMultilevel"/>
    <w:tmpl w:val="7574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B4D15"/>
    <w:multiLevelType w:val="hybridMultilevel"/>
    <w:tmpl w:val="B806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62746"/>
    <w:multiLevelType w:val="hybridMultilevel"/>
    <w:tmpl w:val="C31C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2F7F"/>
    <w:multiLevelType w:val="hybridMultilevel"/>
    <w:tmpl w:val="AF76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94474"/>
    <w:multiLevelType w:val="hybridMultilevel"/>
    <w:tmpl w:val="B862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42A9F"/>
    <w:multiLevelType w:val="hybridMultilevel"/>
    <w:tmpl w:val="A86C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F0"/>
    <w:rsid w:val="000A75F0"/>
    <w:rsid w:val="000B18E5"/>
    <w:rsid w:val="001D26B2"/>
    <w:rsid w:val="006A4059"/>
    <w:rsid w:val="007D3F94"/>
    <w:rsid w:val="0081579D"/>
    <w:rsid w:val="00851F5D"/>
    <w:rsid w:val="009A3F8E"/>
    <w:rsid w:val="00AA7652"/>
    <w:rsid w:val="00C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DF56FA"/>
  <w15:chartTrackingRefBased/>
  <w15:docId w15:val="{9194C65B-574F-4DB7-81AF-44F5DF5B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F0"/>
    <w:pPr>
      <w:spacing w:after="0" w:line="240" w:lineRule="auto"/>
    </w:pPr>
    <w:rPr>
      <w:rFonts w:ascii="Dax-Regular" w:eastAsia="Calibri" w:hAnsi="Dax-Regula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5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79D"/>
    <w:rPr>
      <w:rFonts w:ascii="Dax-Regular" w:eastAsia="Calibri" w:hAnsi="Dax-Regula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9D"/>
    <w:rPr>
      <w:rFonts w:ascii="Dax-Regular" w:eastAsia="Calibri" w:hAnsi="Dax-Regular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26B2"/>
    <w:rPr>
      <w:rFonts w:ascii="Times New Roman" w:eastAsia="Times New Roman" w:hAnsi="Times New Roman"/>
      <w:lang w:val="en-US" w:eastAsia="en-GB" w:bidi="en-US"/>
    </w:rPr>
  </w:style>
  <w:style w:type="character" w:customStyle="1" w:styleId="woj">
    <w:name w:val="woj"/>
    <w:basedOn w:val="DefaultParagraphFont"/>
    <w:rsid w:val="001D26B2"/>
  </w:style>
  <w:style w:type="character" w:customStyle="1" w:styleId="indent-1-breaks">
    <w:name w:val="indent-1-breaks"/>
    <w:basedOn w:val="DefaultParagraphFont"/>
    <w:rsid w:val="001D26B2"/>
  </w:style>
  <w:style w:type="character" w:customStyle="1" w:styleId="text">
    <w:name w:val="text"/>
    <w:basedOn w:val="DefaultParagraphFont"/>
    <w:rsid w:val="001D26B2"/>
  </w:style>
  <w:style w:type="table" w:styleId="TableGrid">
    <w:name w:val="Table Grid"/>
    <w:basedOn w:val="TableNormal"/>
    <w:uiPriority w:val="39"/>
    <w:rsid w:val="007D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D3F94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customStyle="1" w:styleId="s1">
    <w:name w:val="s1"/>
    <w:basedOn w:val="DefaultParagraphFont"/>
    <w:rsid w:val="007D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Jones</dc:creator>
  <cp:keywords/>
  <dc:description/>
  <cp:lastModifiedBy>Beth Lanksford</cp:lastModifiedBy>
  <cp:revision>2</cp:revision>
  <dcterms:created xsi:type="dcterms:W3CDTF">2019-09-16T11:27:00Z</dcterms:created>
  <dcterms:modified xsi:type="dcterms:W3CDTF">2019-09-16T11:27:00Z</dcterms:modified>
</cp:coreProperties>
</file>